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85" w:rsidRPr="00BA5285" w:rsidRDefault="00BA5285" w:rsidP="00BA528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A5285">
        <w:rPr>
          <w:rFonts w:ascii="Calibri" w:eastAsia="Times New Roman" w:hAnsi="Calibri" w:cs="Calibri"/>
          <w:bdr w:val="none" w:sz="0" w:space="0" w:color="auto" w:frame="1"/>
          <w:lang w:eastAsia="en-GB"/>
        </w:rPr>
        <w:t> </w:t>
      </w:r>
    </w:p>
    <w:tbl>
      <w:tblPr>
        <w:tblpPr w:leftFromText="171" w:rightFromText="171" w:vertAnchor="text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710"/>
        <w:gridCol w:w="770"/>
        <w:gridCol w:w="789"/>
        <w:gridCol w:w="709"/>
        <w:gridCol w:w="708"/>
      </w:tblGrid>
      <w:tr w:rsidR="00BA5285" w:rsidRPr="00BA5285" w:rsidTr="00BA5285"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FREQUENCY</w:t>
            </w:r>
          </w:p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  <w:p w:rsidR="00BA5285" w:rsidRPr="00BA5285" w:rsidRDefault="00BA5285" w:rsidP="00BA5285">
            <w:pPr>
              <w:spacing w:after="0" w:line="240" w:lineRule="auto"/>
              <w:ind w:right="317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(Rare/ Occasional/ Moderate/ Frequent)</w:t>
            </w:r>
          </w:p>
        </w:tc>
      </w:tr>
      <w:tr w:rsidR="00BA5285" w:rsidRPr="00BA5285" w:rsidTr="00BA5285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WORKING CONDITIONS/HAZARDS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F</w:t>
            </w:r>
          </w:p>
        </w:tc>
      </w:tr>
      <w:tr w:rsidR="00BA5285" w:rsidRPr="00BA5285" w:rsidTr="00BA5285">
        <w:trPr>
          <w:trHeight w:val="288"/>
        </w:trPr>
        <w:tc>
          <w:tcPr>
            <w:tcW w:w="10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rPr>
          <w:trHeight w:val="288"/>
        </w:trPr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Hazards/ Risks requiring Immunisation Screening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Laboratory specimens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Contact with 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Y/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Exposure Prone Procedures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Blood/body fluids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Laboratory specimens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10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Hazard/Risks requiring Respiratory Health Surveillance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10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Solvents (e.g. toluene, xylene, white spirit, acetone, formaldehyde and ethyl acetate)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Respiratory </w:t>
            </w:r>
            <w:proofErr w:type="spellStart"/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sensitisers</w:t>
            </w:r>
            <w:proofErr w:type="spellEnd"/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e.g</w:t>
            </w:r>
            <w:proofErr w:type="spellEnd"/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isocyanates)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Chlorine based cleaning solutions</w:t>
            </w:r>
          </w:p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(e.g. </w:t>
            </w:r>
            <w:proofErr w:type="spellStart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Chlorclean</w:t>
            </w:r>
            <w:proofErr w:type="spellEnd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Actichlor</w:t>
            </w:r>
            <w:proofErr w:type="spellEnd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Tristel</w:t>
            </w:r>
            <w:proofErr w:type="spellEnd"/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Animals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Cytotoxic drugs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Risks requiring Other Health Surveillance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Radiation (&gt;6mSv)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Laser (Class 3R, 3B, 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Dusty environment (&gt;4mg/m3)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Noise (over 80dBA)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Hand held vibration tools (=&gt;2.5 m/s2)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103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Other General Hazards/ Risks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VDU use ( &gt; 1 hour daily)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Heavy manual handling (&gt;10kg)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Driving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Food handling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Night working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Electrical work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Y/N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Physical Effort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Mental Effort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Emotional Effort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Working in isolation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BA5285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BA5285" w:rsidRPr="00BA5285" w:rsidTr="00BA5285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en-GB"/>
              </w:rPr>
              <w:t>Challenging behaviour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242424"/>
                <w:bdr w:val="none" w:sz="0" w:space="0" w:color="auto" w:frame="1"/>
                <w:shd w:val="clear" w:color="auto" w:fill="FFFF00"/>
                <w:lang w:eastAsia="en-GB"/>
              </w:rPr>
              <w:t>Y</w:t>
            </w:r>
            <w:r w:rsidRPr="00BA5285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en-GB"/>
              </w:rPr>
              <w:t>/N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BA5285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85" w:rsidRPr="00BA5285" w:rsidRDefault="00BA5285" w:rsidP="00BA5285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A5285" w:rsidRPr="00BA5285" w:rsidRDefault="00BA5285" w:rsidP="00BA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73CEA" w:rsidRDefault="00073CEA">
      <w:bookmarkStart w:id="0" w:name="_GoBack"/>
      <w:bookmarkEnd w:id="0"/>
    </w:p>
    <w:sectPr w:rsidR="0007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5"/>
    <w:rsid w:val="00073CEA"/>
    <w:rsid w:val="00B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9EF51-C9AE-4F9C-B3F8-DF42895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Natalie (Royal Devon and Exeter Foundation Trust)</dc:creator>
  <cp:keywords/>
  <dc:description/>
  <cp:lastModifiedBy>Paterson Natalie (Royal Devon and Exeter Foundation Trust)</cp:lastModifiedBy>
  <cp:revision>1</cp:revision>
  <dcterms:created xsi:type="dcterms:W3CDTF">2023-04-18T14:46:00Z</dcterms:created>
  <dcterms:modified xsi:type="dcterms:W3CDTF">2023-04-18T14:47:00Z</dcterms:modified>
</cp:coreProperties>
</file>