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275A3" w14:textId="77777777" w:rsidR="00494A78" w:rsidRDefault="00494A78">
      <w:pPr>
        <w:pStyle w:val="Title"/>
        <w:rPr>
          <w:sz w:val="24"/>
          <w:szCs w:val="24"/>
          <w:u w:val="none"/>
        </w:rPr>
      </w:pPr>
    </w:p>
    <w:p w14:paraId="6C87BCBD" w14:textId="77777777" w:rsidR="00494A78" w:rsidRDefault="00494A78">
      <w:pPr>
        <w:pStyle w:val="Title"/>
        <w:rPr>
          <w:b/>
          <w:bCs/>
          <w:sz w:val="40"/>
          <w:szCs w:val="40"/>
          <w:u w:val="none"/>
        </w:rPr>
      </w:pPr>
    </w:p>
    <w:p w14:paraId="2E60864A" w14:textId="77777777" w:rsidR="00494A78" w:rsidRDefault="00494A78">
      <w:pPr>
        <w:pStyle w:val="Title"/>
        <w:jc w:val="left"/>
        <w:rPr>
          <w:b/>
          <w:bCs/>
          <w:sz w:val="40"/>
          <w:szCs w:val="40"/>
          <w:u w:val="none"/>
        </w:rPr>
      </w:pPr>
    </w:p>
    <w:p w14:paraId="480C8073" w14:textId="77777777" w:rsidR="00494A78" w:rsidRDefault="00494A78">
      <w:pPr>
        <w:pStyle w:val="Title"/>
        <w:jc w:val="left"/>
        <w:rPr>
          <w:b/>
          <w:bCs/>
          <w:sz w:val="40"/>
          <w:szCs w:val="40"/>
          <w:u w:val="none"/>
        </w:rPr>
      </w:pPr>
    </w:p>
    <w:p w14:paraId="22A8A521" w14:textId="77777777" w:rsidR="00494A78" w:rsidRDefault="00D928E0">
      <w:pPr>
        <w:pStyle w:val="Title"/>
        <w:rPr>
          <w:b/>
          <w:bCs/>
          <w:sz w:val="40"/>
          <w:szCs w:val="40"/>
          <w:u w:val="none"/>
        </w:rPr>
      </w:pPr>
      <w:r w:rsidRPr="006F6AF9">
        <w:rPr>
          <w:noProof/>
          <w:color w:val="3366FF"/>
          <w:sz w:val="32"/>
          <w:szCs w:val="32"/>
          <w:u w:val="none"/>
          <w:lang w:eastAsia="en-GB"/>
        </w:rPr>
        <w:drawing>
          <wp:inline distT="0" distB="0" distL="0" distR="0" wp14:anchorId="61EBC141" wp14:editId="2C61C5EA">
            <wp:extent cx="3979545" cy="541655"/>
            <wp:effectExtent l="0" t="0" r="0" b="0"/>
            <wp:docPr id="3" name="Picture 2" descr="sppcol2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ppcol2a"/>
                    <pic:cNvPicPr>
                      <a:picLocks/>
                    </pic:cNvPicPr>
                  </pic:nvPicPr>
                  <pic:blipFill>
                    <a:blip r:embed="rId7" cstate="print">
                      <a:extLst>
                        <a:ext uri="{28A0092B-C50C-407E-A947-70E740481C1C}">
                          <a14:useLocalDpi xmlns:a14="http://schemas.microsoft.com/office/drawing/2010/main" val="0"/>
                        </a:ext>
                      </a:extLst>
                    </a:blip>
                    <a:srcRect b="39360"/>
                    <a:stretch>
                      <a:fillRect/>
                    </a:stretch>
                  </pic:blipFill>
                  <pic:spPr bwMode="auto">
                    <a:xfrm>
                      <a:off x="0" y="0"/>
                      <a:ext cx="3979545" cy="541655"/>
                    </a:xfrm>
                    <a:prstGeom prst="rect">
                      <a:avLst/>
                    </a:prstGeom>
                    <a:noFill/>
                    <a:ln>
                      <a:noFill/>
                    </a:ln>
                  </pic:spPr>
                </pic:pic>
              </a:graphicData>
            </a:graphic>
          </wp:inline>
        </w:drawing>
      </w:r>
    </w:p>
    <w:p w14:paraId="3AD3A54D" w14:textId="77777777" w:rsidR="00494A78" w:rsidRDefault="00494A78">
      <w:pPr>
        <w:pStyle w:val="Title"/>
        <w:jc w:val="left"/>
        <w:rPr>
          <w:b/>
          <w:bCs/>
          <w:sz w:val="40"/>
          <w:szCs w:val="40"/>
          <w:u w:val="none"/>
        </w:rPr>
      </w:pPr>
    </w:p>
    <w:p w14:paraId="64794B4B" w14:textId="77777777" w:rsidR="00494A78" w:rsidRDefault="00494A78">
      <w:pPr>
        <w:pStyle w:val="Title"/>
        <w:jc w:val="left"/>
        <w:rPr>
          <w:b/>
          <w:bCs/>
          <w:sz w:val="40"/>
          <w:szCs w:val="40"/>
          <w:u w:val="none"/>
        </w:rPr>
      </w:pPr>
    </w:p>
    <w:p w14:paraId="1C4A71A9" w14:textId="77777777" w:rsidR="00494A78" w:rsidRDefault="00494A78">
      <w:pPr>
        <w:pStyle w:val="Title"/>
        <w:jc w:val="left"/>
        <w:rPr>
          <w:b/>
          <w:bCs/>
          <w:sz w:val="40"/>
          <w:szCs w:val="40"/>
          <w:u w:val="none"/>
        </w:rPr>
      </w:pPr>
    </w:p>
    <w:p w14:paraId="6EF72C12" w14:textId="77777777" w:rsidR="00494A78" w:rsidRDefault="00494A78">
      <w:pPr>
        <w:pStyle w:val="Title"/>
        <w:jc w:val="left"/>
        <w:rPr>
          <w:b/>
          <w:bCs/>
          <w:sz w:val="40"/>
          <w:szCs w:val="40"/>
          <w:u w:val="none"/>
        </w:rPr>
      </w:pPr>
    </w:p>
    <w:p w14:paraId="1B6299EA" w14:textId="77777777" w:rsidR="00494A78" w:rsidRDefault="00494A78">
      <w:pPr>
        <w:pStyle w:val="Title"/>
        <w:jc w:val="left"/>
        <w:rPr>
          <w:b/>
          <w:bCs/>
          <w:sz w:val="40"/>
          <w:szCs w:val="40"/>
          <w:u w:val="none"/>
        </w:rPr>
      </w:pPr>
    </w:p>
    <w:p w14:paraId="30B764B9" w14:textId="77777777" w:rsidR="00494A78" w:rsidRDefault="00494A78" w:rsidP="000C36FF">
      <w:pPr>
        <w:pStyle w:val="Title"/>
        <w:rPr>
          <w:b/>
          <w:bCs/>
          <w:sz w:val="40"/>
          <w:szCs w:val="40"/>
          <w:u w:val="none"/>
        </w:rPr>
      </w:pPr>
      <w:r>
        <w:rPr>
          <w:b/>
          <w:bCs/>
          <w:sz w:val="38"/>
          <w:szCs w:val="40"/>
          <w:u w:val="none"/>
        </w:rPr>
        <w:t xml:space="preserve">Royal Devon </w:t>
      </w:r>
      <w:r w:rsidR="00166010">
        <w:rPr>
          <w:b/>
          <w:bCs/>
          <w:sz w:val="38"/>
          <w:szCs w:val="40"/>
          <w:u w:val="none"/>
        </w:rPr>
        <w:t>University Healthcare NHS Foundation Trust</w:t>
      </w:r>
    </w:p>
    <w:p w14:paraId="069FE853" w14:textId="77777777" w:rsidR="00494A78" w:rsidRDefault="00494A78" w:rsidP="000C36FF">
      <w:pPr>
        <w:pStyle w:val="Title"/>
        <w:rPr>
          <w:b/>
          <w:bCs/>
          <w:sz w:val="40"/>
          <w:szCs w:val="40"/>
          <w:u w:val="none"/>
        </w:rPr>
      </w:pPr>
    </w:p>
    <w:p w14:paraId="3FA066D5" w14:textId="77777777" w:rsidR="00494A78" w:rsidRDefault="00494A78" w:rsidP="000C36FF">
      <w:pPr>
        <w:pStyle w:val="Title"/>
        <w:rPr>
          <w:b/>
          <w:bCs/>
          <w:sz w:val="40"/>
          <w:szCs w:val="40"/>
          <w:u w:val="none"/>
        </w:rPr>
      </w:pPr>
    </w:p>
    <w:p w14:paraId="0795D971" w14:textId="4B581008" w:rsidR="00DD314A" w:rsidRDefault="001748C7" w:rsidP="000C36FF">
      <w:pPr>
        <w:pStyle w:val="Title"/>
        <w:rPr>
          <w:b/>
          <w:bCs/>
          <w:sz w:val="36"/>
          <w:szCs w:val="36"/>
          <w:u w:val="none"/>
          <w:lang w:val="en-US"/>
        </w:rPr>
      </w:pPr>
      <w:r w:rsidRPr="00547AE4">
        <w:rPr>
          <w:b/>
          <w:bCs/>
          <w:sz w:val="36"/>
          <w:szCs w:val="36"/>
          <w:u w:val="none"/>
          <w:lang w:val="en-US"/>
        </w:rPr>
        <w:t xml:space="preserve">Trust grade </w:t>
      </w:r>
      <w:r w:rsidR="00DD314A" w:rsidRPr="00FF7251">
        <w:rPr>
          <w:b/>
          <w:bCs/>
          <w:sz w:val="36"/>
          <w:szCs w:val="36"/>
          <w:u w:val="none"/>
        </w:rPr>
        <w:t xml:space="preserve">ST1 </w:t>
      </w:r>
      <w:r w:rsidR="007B20A8">
        <w:rPr>
          <w:b/>
          <w:bCs/>
          <w:sz w:val="36"/>
          <w:szCs w:val="36"/>
          <w:u w:val="none"/>
          <w:lang w:val="en-US"/>
        </w:rPr>
        <w:t xml:space="preserve">(F3) </w:t>
      </w:r>
      <w:r w:rsidR="00DD314A" w:rsidRPr="00FF7251">
        <w:rPr>
          <w:b/>
          <w:bCs/>
          <w:sz w:val="36"/>
          <w:szCs w:val="36"/>
          <w:u w:val="none"/>
        </w:rPr>
        <w:t>equivalent</w:t>
      </w:r>
    </w:p>
    <w:p w14:paraId="1AC37249" w14:textId="47F5DF5B" w:rsidR="001748C7" w:rsidRDefault="001748C7" w:rsidP="000C36FF">
      <w:pPr>
        <w:pStyle w:val="Title"/>
        <w:rPr>
          <w:b/>
          <w:bCs/>
          <w:sz w:val="36"/>
          <w:szCs w:val="36"/>
          <w:u w:val="none"/>
          <w:lang w:val="en-US"/>
        </w:rPr>
      </w:pPr>
      <w:r w:rsidRPr="00547AE4">
        <w:rPr>
          <w:b/>
          <w:bCs/>
          <w:sz w:val="36"/>
          <w:szCs w:val="36"/>
          <w:u w:val="none"/>
          <w:lang w:val="en-US"/>
        </w:rPr>
        <w:t>in Perioperative M</w:t>
      </w:r>
      <w:r w:rsidR="000C36FF" w:rsidRPr="00547AE4">
        <w:rPr>
          <w:b/>
          <w:bCs/>
          <w:sz w:val="36"/>
          <w:szCs w:val="36"/>
          <w:u w:val="none"/>
          <w:lang w:val="en-US"/>
        </w:rPr>
        <w:t xml:space="preserve">edicine </w:t>
      </w:r>
    </w:p>
    <w:p w14:paraId="570410C4" w14:textId="77777777" w:rsidR="00DD314A" w:rsidRPr="00547AE4" w:rsidRDefault="00DD314A" w:rsidP="000C36FF">
      <w:pPr>
        <w:pStyle w:val="Title"/>
        <w:rPr>
          <w:b/>
          <w:bCs/>
          <w:sz w:val="36"/>
          <w:szCs w:val="36"/>
          <w:u w:val="none"/>
          <w:lang w:val="en-US"/>
        </w:rPr>
      </w:pPr>
    </w:p>
    <w:p w14:paraId="52041C86" w14:textId="2952FD9B" w:rsidR="001748C7" w:rsidRDefault="001E3795" w:rsidP="000C36FF">
      <w:pPr>
        <w:pStyle w:val="Title"/>
        <w:rPr>
          <w:b/>
          <w:bCs/>
          <w:sz w:val="36"/>
          <w:szCs w:val="36"/>
          <w:u w:val="none"/>
          <w:lang w:val="en-US"/>
        </w:rPr>
      </w:pPr>
      <w:r>
        <w:rPr>
          <w:b/>
          <w:bCs/>
          <w:sz w:val="36"/>
          <w:szCs w:val="36"/>
          <w:u w:val="none"/>
          <w:lang w:val="en-US"/>
        </w:rPr>
        <w:t xml:space="preserve">Fixed term </w:t>
      </w:r>
      <w:r w:rsidR="00D37598">
        <w:rPr>
          <w:b/>
          <w:bCs/>
          <w:sz w:val="36"/>
          <w:szCs w:val="36"/>
          <w:u w:val="none"/>
          <w:lang w:val="en-US"/>
        </w:rPr>
        <w:t>for 6-12 months</w:t>
      </w:r>
    </w:p>
    <w:p w14:paraId="02C71B0C" w14:textId="77777777" w:rsidR="00DD314A" w:rsidRDefault="00DD314A" w:rsidP="000C36FF">
      <w:pPr>
        <w:pStyle w:val="Title"/>
        <w:rPr>
          <w:b/>
          <w:bCs/>
          <w:sz w:val="36"/>
          <w:szCs w:val="36"/>
          <w:u w:val="none"/>
          <w:lang w:val="en-US"/>
        </w:rPr>
      </w:pPr>
    </w:p>
    <w:p w14:paraId="2B655116" w14:textId="6133BCB9" w:rsidR="00494A78" w:rsidRDefault="00D37598" w:rsidP="000C36FF">
      <w:pPr>
        <w:pStyle w:val="Title"/>
        <w:rPr>
          <w:b/>
          <w:bCs/>
          <w:sz w:val="36"/>
          <w:szCs w:val="36"/>
          <w:u w:val="none"/>
          <w:lang w:val="en-US"/>
        </w:rPr>
      </w:pPr>
      <w:r>
        <w:rPr>
          <w:b/>
          <w:bCs/>
          <w:sz w:val="36"/>
          <w:szCs w:val="36"/>
          <w:u w:val="none"/>
          <w:lang w:val="en-US"/>
        </w:rPr>
        <w:t>Surgical Services Care Group</w:t>
      </w:r>
    </w:p>
    <w:p w14:paraId="56EA354D" w14:textId="597DF94E" w:rsidR="00037F0B" w:rsidRDefault="00037F0B" w:rsidP="000C36FF">
      <w:pPr>
        <w:pStyle w:val="Title"/>
        <w:rPr>
          <w:b/>
          <w:bCs/>
          <w:sz w:val="36"/>
          <w:szCs w:val="36"/>
          <w:u w:val="none"/>
          <w:lang w:val="en-US"/>
        </w:rPr>
      </w:pPr>
      <w:r>
        <w:rPr>
          <w:b/>
          <w:bCs/>
          <w:sz w:val="36"/>
          <w:szCs w:val="36"/>
          <w:u w:val="none"/>
          <w:lang w:val="en-US"/>
        </w:rPr>
        <w:t>March 2025</w:t>
      </w:r>
    </w:p>
    <w:p w14:paraId="68E47589" w14:textId="3A2ECA72" w:rsidR="00BE6641" w:rsidRDefault="00BE6641" w:rsidP="00037F0B">
      <w:pPr>
        <w:pStyle w:val="Title"/>
        <w:jc w:val="left"/>
        <w:rPr>
          <w:b/>
          <w:bCs/>
          <w:sz w:val="36"/>
          <w:szCs w:val="36"/>
          <w:u w:val="none"/>
        </w:rPr>
      </w:pPr>
    </w:p>
    <w:p w14:paraId="1F7DF09F" w14:textId="77777777" w:rsidR="00C2251D" w:rsidRDefault="00C2251D" w:rsidP="000C36FF">
      <w:pPr>
        <w:pStyle w:val="Title"/>
        <w:rPr>
          <w:b/>
          <w:bCs/>
          <w:sz w:val="36"/>
          <w:szCs w:val="36"/>
          <w:u w:val="none"/>
        </w:rPr>
      </w:pPr>
    </w:p>
    <w:p w14:paraId="3D84D429" w14:textId="77777777" w:rsidR="00494A78" w:rsidRDefault="00494A78"/>
    <w:p w14:paraId="2BCBFEEA" w14:textId="77777777" w:rsidR="00494A78" w:rsidRDefault="00494A78"/>
    <w:p w14:paraId="4BFF1E90" w14:textId="77777777" w:rsidR="00494A78" w:rsidRDefault="00494A78"/>
    <w:p w14:paraId="15446610" w14:textId="77777777" w:rsidR="00494A78" w:rsidRDefault="00494A78"/>
    <w:p w14:paraId="7C0C2EED" w14:textId="77777777" w:rsidR="00494A78" w:rsidRDefault="00494A78"/>
    <w:p w14:paraId="7A71465C" w14:textId="77777777" w:rsidR="00494A78" w:rsidRDefault="00494A78"/>
    <w:p w14:paraId="66A538D2" w14:textId="77777777" w:rsidR="00494A78" w:rsidRDefault="00494A78"/>
    <w:p w14:paraId="6B81C4CD" w14:textId="77777777" w:rsidR="00494A78" w:rsidRDefault="00494A78"/>
    <w:p w14:paraId="6C67D79E" w14:textId="77777777" w:rsidR="00494A78" w:rsidRDefault="00494A78"/>
    <w:p w14:paraId="66C7BF02" w14:textId="77777777" w:rsidR="00494A78" w:rsidRDefault="00494A78"/>
    <w:p w14:paraId="17F79E40" w14:textId="77777777" w:rsidR="00494A78" w:rsidRDefault="00494A78"/>
    <w:p w14:paraId="117EADA8" w14:textId="77777777" w:rsidR="00494A78" w:rsidRDefault="00494A78">
      <w:pPr>
        <w:jc w:val="right"/>
      </w:pPr>
    </w:p>
    <w:p w14:paraId="43D8C68B" w14:textId="77777777" w:rsidR="00B22CF3" w:rsidRDefault="00B22CF3">
      <w:pPr>
        <w:jc w:val="right"/>
      </w:pPr>
    </w:p>
    <w:p w14:paraId="6E45AB65" w14:textId="77777777" w:rsidR="00B22CF3" w:rsidRDefault="00B22CF3">
      <w:pPr>
        <w:jc w:val="right"/>
      </w:pPr>
    </w:p>
    <w:p w14:paraId="01CD26EC" w14:textId="77777777" w:rsidR="00B22CF3" w:rsidRDefault="00B22CF3">
      <w:pPr>
        <w:jc w:val="right"/>
      </w:pPr>
    </w:p>
    <w:p w14:paraId="365AEE7F" w14:textId="77777777" w:rsidR="00494A78" w:rsidRDefault="00494A78">
      <w:pPr>
        <w:jc w:val="right"/>
      </w:pPr>
    </w:p>
    <w:p w14:paraId="597C51E8" w14:textId="77777777" w:rsidR="00494A78" w:rsidRDefault="00494A78">
      <w:pPr>
        <w:jc w:val="right"/>
      </w:pPr>
    </w:p>
    <w:p w14:paraId="115F24F9" w14:textId="77777777" w:rsidR="00494A78" w:rsidRDefault="00494A78">
      <w:pPr>
        <w:rPr>
          <w:b/>
          <w:u w:val="single"/>
        </w:rPr>
      </w:pPr>
      <w:r w:rsidRPr="00BC74B7">
        <w:rPr>
          <w:b/>
          <w:u w:val="single"/>
        </w:rPr>
        <w:t>Introduction</w:t>
      </w:r>
    </w:p>
    <w:p w14:paraId="0A1A2952" w14:textId="77777777" w:rsidR="000F082A" w:rsidRDefault="000F082A">
      <w:pPr>
        <w:rPr>
          <w:b/>
          <w:u w:val="single"/>
        </w:rPr>
      </w:pPr>
    </w:p>
    <w:p w14:paraId="28AFDF7F" w14:textId="3242C416" w:rsidR="000F082A" w:rsidRPr="00547AE4" w:rsidRDefault="000F082A" w:rsidP="009F60FC">
      <w:pPr>
        <w:tabs>
          <w:tab w:val="left" w:pos="-720"/>
          <w:tab w:val="left" w:pos="0"/>
        </w:tabs>
        <w:suppressAutoHyphens/>
        <w:spacing w:line="360" w:lineRule="auto"/>
        <w:jc w:val="both"/>
      </w:pPr>
      <w:r w:rsidRPr="00547AE4">
        <w:t xml:space="preserve">Perioperative medicine is an emerging specialty endorsed by all the academic colleges. It is defined as the medical care of patients from the time of contemplation of surgery through the operative period to full recovery, but excludes the operation or procedure itself. Senior Perioperative care may be provided by an Anaesthetist, Intensivist, or general physician working </w:t>
      </w:r>
      <w:r w:rsidR="00A6454D" w:rsidRPr="00547AE4">
        <w:t>alongside</w:t>
      </w:r>
      <w:r w:rsidR="00B058FB" w:rsidRPr="00547AE4">
        <w:t xml:space="preserve"> </w:t>
      </w:r>
      <w:r w:rsidRPr="00547AE4">
        <w:t xml:space="preserve">surgical colleagues. In reality, the aims of perioperative medicine are to ensure that the individual needs of complex patients are carefully </w:t>
      </w:r>
      <w:r w:rsidR="007B20A8" w:rsidRPr="00547AE4">
        <w:t>coordinated</w:t>
      </w:r>
      <w:r w:rsidRPr="00547AE4">
        <w:t xml:space="preserve"> from the decision to offer surgery, through to the weeks and months after the procedure. Perioperative medicine teams lead the assessment and preparation of patients for surgery to optimise the treatment of coexisting medical disease. Teams plan care in hospital, provide advice and support during the days after surgery, and review patients in clinic when they return home to ensure all harmful consequences of surgery are fully resolved. </w:t>
      </w:r>
    </w:p>
    <w:p w14:paraId="7E1DC128" w14:textId="77777777" w:rsidR="00B058FB" w:rsidRDefault="00B058FB" w:rsidP="009F60FC">
      <w:pPr>
        <w:spacing w:line="360" w:lineRule="auto"/>
        <w:rPr>
          <w:highlight w:val="yellow"/>
        </w:rPr>
      </w:pPr>
    </w:p>
    <w:p w14:paraId="56881A4F" w14:textId="77777777" w:rsidR="000F082A" w:rsidRPr="00BC74B7" w:rsidRDefault="000F082A" w:rsidP="009227A9">
      <w:pPr>
        <w:spacing w:line="360" w:lineRule="auto"/>
        <w:jc w:val="both"/>
        <w:rPr>
          <w:b/>
          <w:u w:val="single"/>
        </w:rPr>
      </w:pPr>
      <w:r w:rsidRPr="00547AE4">
        <w:t>In this hospital, outside trauma and orthopaedics, the perioperative team consists of the anaesthetists who are largely responsibl</w:t>
      </w:r>
      <w:r w:rsidR="00796627" w:rsidRPr="00547AE4">
        <w:t>e for the pre-</w:t>
      </w:r>
      <w:r w:rsidRPr="00547AE4">
        <w:t>operative planning and operative stages, followed by a ward</w:t>
      </w:r>
      <w:r w:rsidR="003B2617">
        <w:t>-</w:t>
      </w:r>
      <w:r w:rsidRPr="00547AE4">
        <w:t>based team led by Dr. Sheena Hubble</w:t>
      </w:r>
      <w:r w:rsidR="00922F20">
        <w:t xml:space="preserve"> (</w:t>
      </w:r>
      <w:r w:rsidRPr="00547AE4">
        <w:t>a former intensive care consultan</w:t>
      </w:r>
      <w:r w:rsidR="009C5D45" w:rsidRPr="00547AE4">
        <w:t>t</w:t>
      </w:r>
      <w:r w:rsidR="00922F20">
        <w:t>),</w:t>
      </w:r>
      <w:r w:rsidR="009C5D45" w:rsidRPr="00547AE4">
        <w:t xml:space="preserve"> </w:t>
      </w:r>
      <w:r w:rsidR="00922F20">
        <w:t xml:space="preserve">Dr </w:t>
      </w:r>
      <w:r w:rsidR="009C5D45" w:rsidRPr="00547AE4">
        <w:t>Rebecca M</w:t>
      </w:r>
      <w:r w:rsidR="000C36FF" w:rsidRPr="00547AE4">
        <w:t>atthews</w:t>
      </w:r>
      <w:r w:rsidR="00922F20">
        <w:t xml:space="preserve"> (</w:t>
      </w:r>
      <w:r w:rsidR="000C36FF" w:rsidRPr="00547AE4">
        <w:t>an Acute M</w:t>
      </w:r>
      <w:r w:rsidR="009C5D45" w:rsidRPr="00547AE4">
        <w:t>edicine consultan</w:t>
      </w:r>
      <w:r w:rsidRPr="00547AE4">
        <w:t>t</w:t>
      </w:r>
      <w:r w:rsidR="00922F20">
        <w:t>), Dr Kat Haynes</w:t>
      </w:r>
      <w:r w:rsidRPr="00547AE4">
        <w:t xml:space="preserve"> </w:t>
      </w:r>
      <w:r w:rsidR="00922F20">
        <w:t xml:space="preserve">(Consultant Anaesthetist) </w:t>
      </w:r>
      <w:r w:rsidRPr="00547AE4">
        <w:t xml:space="preserve">and </w:t>
      </w:r>
      <w:r w:rsidR="00922F20">
        <w:t>Dr</w:t>
      </w:r>
      <w:r w:rsidRPr="00547AE4">
        <w:t xml:space="preserve"> </w:t>
      </w:r>
      <w:r w:rsidR="00922F20">
        <w:t>Rebecca Appelboam (Consultant Intensivist). It is an evolving and expanding team who work with the foundation doctors to</w:t>
      </w:r>
      <w:r w:rsidRPr="00547AE4">
        <w:t xml:space="preserve"> provide broad based cover to elective and emergency surgical specialties.</w:t>
      </w:r>
      <w:r w:rsidR="00B66741" w:rsidRPr="00547AE4">
        <w:t xml:space="preserve"> T</w:t>
      </w:r>
      <w:r w:rsidR="00B058FB" w:rsidRPr="00547AE4">
        <w:t>he RDE is one of</w:t>
      </w:r>
      <w:r w:rsidR="00B058FB">
        <w:t xml:space="preserve"> the few Trusts in the coun</w:t>
      </w:r>
      <w:r w:rsidR="006E18B2">
        <w:t>try with dedicated</w:t>
      </w:r>
      <w:r w:rsidR="00B66741">
        <w:t>,</w:t>
      </w:r>
      <w:r w:rsidR="006E18B2">
        <w:t xml:space="preserve"> funded in-patient perioperative support, and this service has been associated with</w:t>
      </w:r>
      <w:r w:rsidR="0083511F">
        <w:t xml:space="preserve"> improved patient outcomes in multiple domains, in many different surgical groups. Junior doctor training within the </w:t>
      </w:r>
      <w:r w:rsidR="007075BD">
        <w:t>firm</w:t>
      </w:r>
      <w:r w:rsidR="003B2617">
        <w:t>-</w:t>
      </w:r>
      <w:r w:rsidR="007075BD">
        <w:t xml:space="preserve">based team, is varied, challenging, multidisciplinary and </w:t>
      </w:r>
      <w:r w:rsidR="00B505F7">
        <w:t xml:space="preserve">well supported. This is reflected in positive Deanery feedback and </w:t>
      </w:r>
      <w:r w:rsidR="00E81DBD">
        <w:t>high numbers requesting perioperative placements</w:t>
      </w:r>
      <w:r w:rsidR="0091065A">
        <w:t xml:space="preserve"> </w:t>
      </w:r>
      <w:r w:rsidR="009F60FC">
        <w:t xml:space="preserve">as part of </w:t>
      </w:r>
      <w:r w:rsidR="003E55D4">
        <w:t xml:space="preserve">future </w:t>
      </w:r>
      <w:r w:rsidR="009F60FC">
        <w:t>career planning.</w:t>
      </w:r>
    </w:p>
    <w:p w14:paraId="3E662F6D" w14:textId="77777777" w:rsidR="00494A78" w:rsidRDefault="00494A78">
      <w:pPr>
        <w:rPr>
          <w:b/>
          <w:sz w:val="20"/>
          <w:szCs w:val="20"/>
        </w:rPr>
      </w:pPr>
    </w:p>
    <w:p w14:paraId="7136438F" w14:textId="77777777" w:rsidR="000F082A" w:rsidRDefault="000F082A" w:rsidP="000F082A">
      <w:pPr>
        <w:rPr>
          <w:b/>
          <w:u w:val="single"/>
        </w:rPr>
      </w:pPr>
      <w:r w:rsidRPr="00BC74B7">
        <w:rPr>
          <w:b/>
          <w:u w:val="single"/>
        </w:rPr>
        <w:t>Hospital Profil</w:t>
      </w:r>
      <w:r>
        <w:rPr>
          <w:b/>
          <w:u w:val="single"/>
        </w:rPr>
        <w:t>e</w:t>
      </w:r>
    </w:p>
    <w:p w14:paraId="49CAB26B" w14:textId="77777777" w:rsidR="00FA570E" w:rsidRDefault="00FA570E" w:rsidP="000F082A">
      <w:pPr>
        <w:rPr>
          <w:b/>
          <w:u w:val="single"/>
        </w:rPr>
      </w:pPr>
    </w:p>
    <w:p w14:paraId="002B9B40" w14:textId="77777777" w:rsidR="00494A78" w:rsidRPr="008028AB" w:rsidRDefault="00607DBB" w:rsidP="008028AB">
      <w:pPr>
        <w:tabs>
          <w:tab w:val="left" w:pos="-720"/>
          <w:tab w:val="left" w:pos="0"/>
        </w:tabs>
        <w:suppressAutoHyphens/>
        <w:spacing w:line="360" w:lineRule="auto"/>
        <w:jc w:val="both"/>
      </w:pPr>
      <w:r>
        <w:t>The Royal Devon &amp; Exeter NHS Foundation Trust comprises all acute District General Hospital facilities and is managed day to day by a Trust Executive which includes clinical directors (with management contracts), a chief executive, a medical director and directors of capital planning, finance and information, human resources, nursing, operations, and, (ex officio) the chairman of the Medical Staff Committee.  There is a Medical Staff Committee of which all consultants in the Trust and some SAS Grades are members.  The Committee provides a forum for the discussion of any matters of interest to consultants.  The Chairman is elected and provides advice to the Trust Executive, which is independent of the clinical directors</w:t>
      </w:r>
      <w:r w:rsidR="001836EE">
        <w:t>.</w:t>
      </w:r>
    </w:p>
    <w:p w14:paraId="23EF9AB4" w14:textId="77777777" w:rsidR="00607DBB" w:rsidRDefault="00607DBB">
      <w:pPr>
        <w:rPr>
          <w:b/>
          <w:sz w:val="20"/>
          <w:szCs w:val="20"/>
        </w:rPr>
      </w:pPr>
    </w:p>
    <w:p w14:paraId="3A0EA490" w14:textId="77777777" w:rsidR="003E55D4" w:rsidRDefault="003E55D4">
      <w:pPr>
        <w:rPr>
          <w:b/>
          <w:sz w:val="20"/>
          <w:szCs w:val="20"/>
        </w:rPr>
      </w:pPr>
    </w:p>
    <w:p w14:paraId="5ECC00E0" w14:textId="77777777" w:rsidR="00DC48FC" w:rsidRPr="00DC48FC" w:rsidRDefault="00DC48FC" w:rsidP="00DC48FC">
      <w:pPr>
        <w:rPr>
          <w:vanish/>
        </w:rPr>
      </w:pPr>
    </w:p>
    <w:p w14:paraId="534A860A" w14:textId="77777777" w:rsidR="00494A78" w:rsidRDefault="00494A78">
      <w:pPr>
        <w:rPr>
          <w:b/>
          <w:sz w:val="20"/>
          <w:szCs w:val="20"/>
        </w:rPr>
      </w:pPr>
    </w:p>
    <w:p w14:paraId="6D05005A" w14:textId="77777777" w:rsidR="00E0272D" w:rsidRDefault="00494A78">
      <w:pPr>
        <w:jc w:val="both"/>
        <w:rPr>
          <w:b/>
          <w:u w:val="single"/>
          <w:lang w:val="en"/>
        </w:rPr>
      </w:pPr>
      <w:r w:rsidRPr="008D3A30">
        <w:rPr>
          <w:b/>
          <w:u w:val="single"/>
          <w:lang w:val="en"/>
        </w:rPr>
        <w:t>General Information</w:t>
      </w:r>
    </w:p>
    <w:p w14:paraId="73EB6AE9" w14:textId="77777777" w:rsidR="00BC74B7" w:rsidRPr="008D3A30" w:rsidRDefault="00BC74B7">
      <w:pPr>
        <w:jc w:val="both"/>
        <w:rPr>
          <w:b/>
          <w:u w:val="single"/>
          <w:lang w:val="en"/>
        </w:rPr>
      </w:pPr>
    </w:p>
    <w:p w14:paraId="29717457" w14:textId="3F955642" w:rsidR="001748C7" w:rsidRDefault="001748C7" w:rsidP="00BC74B7">
      <w:pPr>
        <w:pStyle w:val="BodyText"/>
      </w:pPr>
      <w:r>
        <w:t xml:space="preserve">The post </w:t>
      </w:r>
      <w:r w:rsidR="001E3795">
        <w:t xml:space="preserve">a fixed term contract </w:t>
      </w:r>
      <w:r w:rsidR="00D37598">
        <w:t>for 6-12 months.</w:t>
      </w:r>
      <w:bookmarkStart w:id="0" w:name="_GoBack"/>
      <w:bookmarkEnd w:id="0"/>
    </w:p>
    <w:p w14:paraId="75B8D729" w14:textId="77777777" w:rsidR="001E3795" w:rsidRDefault="001E3795" w:rsidP="00BC74B7">
      <w:pPr>
        <w:pStyle w:val="BodyText"/>
      </w:pPr>
    </w:p>
    <w:p w14:paraId="008905A7" w14:textId="77777777" w:rsidR="00494A78" w:rsidRDefault="00494A78" w:rsidP="00BC74B7">
      <w:pPr>
        <w:pStyle w:val="BodyText"/>
      </w:pPr>
      <w:r w:rsidRPr="00BC74B7">
        <w:t>The Terms and Conditions of Employment (including those related to leave and sick pay) are in accordance with the nationally agreed Terms and Conditions of Service of Hospital Medical and Dental Staff (England and Wales) and General Whitley Council Conditions of Service currently in force and as amended from time to time.</w:t>
      </w:r>
    </w:p>
    <w:p w14:paraId="23AA7531" w14:textId="77777777" w:rsidR="008028AB" w:rsidRDefault="008028AB" w:rsidP="00BC74B7">
      <w:pPr>
        <w:pStyle w:val="BodyText"/>
      </w:pPr>
    </w:p>
    <w:p w14:paraId="5D5EA201" w14:textId="77777777" w:rsidR="008028AB" w:rsidRDefault="008028AB" w:rsidP="00682A35">
      <w:pPr>
        <w:tabs>
          <w:tab w:val="left" w:pos="-720"/>
          <w:tab w:val="left" w:pos="0"/>
          <w:tab w:val="left" w:pos="720"/>
        </w:tabs>
        <w:suppressAutoHyphens/>
        <w:ind w:right="534"/>
        <w:jc w:val="both"/>
        <w:rPr>
          <w:b/>
          <w:u w:val="single"/>
        </w:rPr>
      </w:pPr>
    </w:p>
    <w:p w14:paraId="1279F777" w14:textId="77777777" w:rsidR="00682A35" w:rsidRDefault="00682A35" w:rsidP="00682A35">
      <w:pPr>
        <w:tabs>
          <w:tab w:val="left" w:pos="-720"/>
          <w:tab w:val="left" w:pos="0"/>
          <w:tab w:val="left" w:pos="720"/>
        </w:tabs>
        <w:suppressAutoHyphens/>
        <w:ind w:right="534"/>
        <w:jc w:val="both"/>
        <w:rPr>
          <w:b/>
          <w:u w:val="single"/>
        </w:rPr>
      </w:pPr>
      <w:r>
        <w:rPr>
          <w:b/>
          <w:u w:val="single"/>
        </w:rPr>
        <w:t>Duties</w:t>
      </w:r>
    </w:p>
    <w:p w14:paraId="6C174C05" w14:textId="77777777" w:rsidR="00E42374" w:rsidRPr="002E1937" w:rsidRDefault="00E42374" w:rsidP="00682A35">
      <w:pPr>
        <w:tabs>
          <w:tab w:val="left" w:pos="-720"/>
          <w:tab w:val="left" w:pos="0"/>
          <w:tab w:val="left" w:pos="720"/>
        </w:tabs>
        <w:suppressAutoHyphens/>
        <w:ind w:right="534"/>
        <w:jc w:val="both"/>
        <w:rPr>
          <w:b/>
          <w:sz w:val="16"/>
          <w:szCs w:val="16"/>
          <w:u w:val="single"/>
        </w:rPr>
      </w:pPr>
    </w:p>
    <w:p w14:paraId="54CC5A12" w14:textId="77777777" w:rsidR="003A4329" w:rsidRPr="003A4329" w:rsidRDefault="003A4329" w:rsidP="003A4329">
      <w:pPr>
        <w:spacing w:line="360" w:lineRule="auto"/>
        <w:jc w:val="both"/>
        <w:rPr>
          <w:b/>
        </w:rPr>
      </w:pPr>
      <w:r w:rsidRPr="003A4329">
        <w:rPr>
          <w:b/>
        </w:rPr>
        <w:t>Academic</w:t>
      </w:r>
    </w:p>
    <w:p w14:paraId="3EA840ED" w14:textId="77777777" w:rsidR="003A4329" w:rsidRDefault="00E42374" w:rsidP="003A4329">
      <w:pPr>
        <w:spacing w:line="360" w:lineRule="auto"/>
        <w:jc w:val="both"/>
      </w:pPr>
      <w:r w:rsidRPr="00547AE4">
        <w:t xml:space="preserve">The post holder will be expected to </w:t>
      </w:r>
      <w:r w:rsidR="0040091D" w:rsidRPr="00547AE4">
        <w:t xml:space="preserve">complete </w:t>
      </w:r>
      <w:r w:rsidR="00EF355B" w:rsidRPr="00547AE4">
        <w:t>a peri-operative service quality improvement project</w:t>
      </w:r>
      <w:r w:rsidRPr="00547AE4">
        <w:t xml:space="preserve"> during the year.</w:t>
      </w:r>
      <w:r w:rsidR="003A4329" w:rsidRPr="00547AE4">
        <w:t xml:space="preserve"> </w:t>
      </w:r>
      <w:r w:rsidRPr="00547AE4">
        <w:t xml:space="preserve"> There </w:t>
      </w:r>
      <w:r w:rsidR="0040091D" w:rsidRPr="00547AE4">
        <w:t xml:space="preserve">are </w:t>
      </w:r>
      <w:r w:rsidRPr="00547AE4">
        <w:t xml:space="preserve">opportunities to run other </w:t>
      </w:r>
      <w:r w:rsidR="00C75585" w:rsidRPr="00547AE4">
        <w:t xml:space="preserve">surgical, </w:t>
      </w:r>
      <w:r w:rsidR="008028AB" w:rsidRPr="00547AE4">
        <w:t>anesthetic</w:t>
      </w:r>
      <w:r w:rsidR="00C75585" w:rsidRPr="00547AE4">
        <w:t xml:space="preserve"> or medical </w:t>
      </w:r>
      <w:r w:rsidRPr="00547AE4">
        <w:t>improvement projects</w:t>
      </w:r>
      <w:r w:rsidR="00C75585" w:rsidRPr="00547AE4">
        <w:t xml:space="preserve"> </w:t>
      </w:r>
      <w:r w:rsidRPr="00547AE4">
        <w:t xml:space="preserve">and also to be involved in research through the Health Surgical Researches Unit (HeSRU). </w:t>
      </w:r>
      <w:r w:rsidR="003A4329" w:rsidRPr="00547AE4">
        <w:t>Academic supervision by consultant will depend on the project.</w:t>
      </w:r>
    </w:p>
    <w:p w14:paraId="57CF9C83" w14:textId="77777777" w:rsidR="0010666E" w:rsidRPr="008028AB" w:rsidRDefault="0010666E" w:rsidP="003A4329">
      <w:pPr>
        <w:spacing w:line="360" w:lineRule="auto"/>
        <w:jc w:val="both"/>
        <w:rPr>
          <w:sz w:val="16"/>
          <w:szCs w:val="16"/>
        </w:rPr>
      </w:pPr>
    </w:p>
    <w:p w14:paraId="52B43451" w14:textId="77777777" w:rsidR="00EA35D9" w:rsidRPr="00EA35D9" w:rsidRDefault="003A4329" w:rsidP="000A682E">
      <w:pPr>
        <w:spacing w:line="360" w:lineRule="auto"/>
        <w:jc w:val="both"/>
        <w:rPr>
          <w:b/>
        </w:rPr>
      </w:pPr>
      <w:r w:rsidRPr="003A4329">
        <w:rPr>
          <w:b/>
        </w:rPr>
        <w:t>Clinical</w:t>
      </w:r>
    </w:p>
    <w:p w14:paraId="6647E263" w14:textId="77777777" w:rsidR="000C36FF" w:rsidRDefault="00922F20" w:rsidP="004A5FA9">
      <w:pPr>
        <w:tabs>
          <w:tab w:val="left" w:pos="-720"/>
          <w:tab w:val="left" w:pos="0"/>
        </w:tabs>
        <w:suppressAutoHyphens/>
        <w:spacing w:line="360" w:lineRule="auto"/>
        <w:jc w:val="both"/>
      </w:pPr>
      <w:r>
        <w:t>T</w:t>
      </w:r>
      <w:r w:rsidR="00E42374" w:rsidRPr="0071767C">
        <w:t xml:space="preserve">he post holder would be part of the </w:t>
      </w:r>
      <w:r w:rsidR="00D928E0" w:rsidRPr="0071767C">
        <w:t>perioperative team</w:t>
      </w:r>
      <w:r w:rsidR="00E42374" w:rsidRPr="0071767C">
        <w:t xml:space="preserve"> and supervised</w:t>
      </w:r>
      <w:r w:rsidR="003A4329" w:rsidRPr="0071767C">
        <w:t xml:space="preserve"> </w:t>
      </w:r>
      <w:r w:rsidR="009C5D45" w:rsidRPr="0071767C">
        <w:t xml:space="preserve">by one full time and </w:t>
      </w:r>
      <w:r w:rsidR="00547AE4" w:rsidRPr="0071767C">
        <w:t>two</w:t>
      </w:r>
      <w:r>
        <w:t>/three</w:t>
      </w:r>
      <w:r w:rsidR="009C5D45" w:rsidRPr="0071767C">
        <w:t xml:space="preserve"> part time</w:t>
      </w:r>
      <w:r w:rsidR="00E42374" w:rsidRPr="0071767C">
        <w:t xml:space="preserve"> consultant</w:t>
      </w:r>
      <w:r w:rsidR="00547AE4" w:rsidRPr="0071767C">
        <w:t>s</w:t>
      </w:r>
      <w:r w:rsidR="00E42374" w:rsidRPr="0071767C">
        <w:t xml:space="preserve"> </w:t>
      </w:r>
      <w:r w:rsidR="00D928E0" w:rsidRPr="0071767C">
        <w:t>in perioperative medicine.</w:t>
      </w:r>
      <w:r w:rsidR="003A4329" w:rsidRPr="0071767C">
        <w:t xml:space="preserve"> </w:t>
      </w:r>
    </w:p>
    <w:p w14:paraId="6EC4DD6F" w14:textId="77777777" w:rsidR="00922F20" w:rsidRPr="0071767C" w:rsidRDefault="00922F20" w:rsidP="004A5FA9">
      <w:pPr>
        <w:tabs>
          <w:tab w:val="left" w:pos="-720"/>
          <w:tab w:val="left" w:pos="0"/>
        </w:tabs>
        <w:suppressAutoHyphens/>
        <w:spacing w:line="360" w:lineRule="auto"/>
        <w:jc w:val="both"/>
      </w:pPr>
    </w:p>
    <w:p w14:paraId="116FD3A1" w14:textId="77777777" w:rsidR="004A5FA9" w:rsidRPr="0071767C" w:rsidRDefault="00D0651B" w:rsidP="004A5FA9">
      <w:pPr>
        <w:tabs>
          <w:tab w:val="left" w:pos="-720"/>
          <w:tab w:val="left" w:pos="0"/>
        </w:tabs>
        <w:suppressAutoHyphens/>
        <w:spacing w:line="360" w:lineRule="auto"/>
        <w:jc w:val="both"/>
      </w:pPr>
      <w:r w:rsidRPr="0071767C">
        <w:t xml:space="preserve">Perioperative </w:t>
      </w:r>
      <w:r w:rsidR="00512842" w:rsidRPr="0071767C">
        <w:t>referral</w:t>
      </w:r>
      <w:r w:rsidR="001748C7" w:rsidRPr="0071767C">
        <w:t>s</w:t>
      </w:r>
      <w:r w:rsidR="00D42F64">
        <w:t xml:space="preserve"> or consults</w:t>
      </w:r>
      <w:r w:rsidR="001748C7" w:rsidRPr="0071767C">
        <w:t xml:space="preserve"> are taken from general</w:t>
      </w:r>
      <w:r w:rsidR="00512842" w:rsidRPr="0071767C">
        <w:t xml:space="preserve">, urology, </w:t>
      </w:r>
      <w:r w:rsidR="001748C7" w:rsidRPr="0071767C">
        <w:t>and vascular surgery</w:t>
      </w:r>
      <w:r w:rsidR="00B813EA" w:rsidRPr="0071767C">
        <w:t xml:space="preserve">. </w:t>
      </w:r>
      <w:r w:rsidR="0010666E" w:rsidRPr="0071767C">
        <w:t>Work</w:t>
      </w:r>
      <w:r w:rsidR="003A4329" w:rsidRPr="0071767C">
        <w:t xml:space="preserve"> </w:t>
      </w:r>
      <w:r w:rsidR="000A463B" w:rsidRPr="0071767C">
        <w:t xml:space="preserve">is </w:t>
      </w:r>
      <w:r w:rsidR="003A4329" w:rsidRPr="0071767C">
        <w:t xml:space="preserve">similar to the role a medical </w:t>
      </w:r>
      <w:r w:rsidR="001748C7" w:rsidRPr="0071767C">
        <w:t>F3/registrar</w:t>
      </w:r>
      <w:r w:rsidR="003A4329" w:rsidRPr="0071767C">
        <w:t xml:space="preserve"> would undertake, i</w:t>
      </w:r>
      <w:r w:rsidR="00FA570E">
        <w:t>.</w:t>
      </w:r>
      <w:r w:rsidR="003A4329" w:rsidRPr="0071767C">
        <w:t>e</w:t>
      </w:r>
      <w:r w:rsidR="00FA570E">
        <w:t>.</w:t>
      </w:r>
      <w:r w:rsidR="003A4329" w:rsidRPr="0071767C">
        <w:t xml:space="preserve"> </w:t>
      </w:r>
      <w:r w:rsidR="0048318A" w:rsidRPr="0071767C">
        <w:t xml:space="preserve">medical </w:t>
      </w:r>
      <w:r w:rsidR="003A4329" w:rsidRPr="0071767C">
        <w:t xml:space="preserve">review, problem solving and planning. The Job plan includes at least </w:t>
      </w:r>
      <w:r w:rsidR="007C0154" w:rsidRPr="0071767C">
        <w:t>one</w:t>
      </w:r>
      <w:r w:rsidR="0071767C">
        <w:t xml:space="preserve"> perioperative g</w:t>
      </w:r>
      <w:r w:rsidR="003A4329" w:rsidRPr="0071767C">
        <w:t>rand round per week which is both service</w:t>
      </w:r>
      <w:r w:rsidR="007C0154" w:rsidRPr="0071767C">
        <w:t xml:space="preserve"> provision</w:t>
      </w:r>
      <w:r w:rsidR="003A4329" w:rsidRPr="0071767C">
        <w:t xml:space="preserve"> and educational</w:t>
      </w:r>
      <w:r w:rsidR="007C0154" w:rsidRPr="0071767C">
        <w:t>. In addition, the post holder will be expected to join</w:t>
      </w:r>
      <w:r w:rsidR="003A4329" w:rsidRPr="0071767C">
        <w:t xml:space="preserve"> </w:t>
      </w:r>
      <w:r w:rsidR="007C0154" w:rsidRPr="0071767C">
        <w:t>two</w:t>
      </w:r>
      <w:r w:rsidR="003A4329" w:rsidRPr="0071767C">
        <w:t xml:space="preserve"> surgical </w:t>
      </w:r>
      <w:r w:rsidR="001D0334" w:rsidRPr="0071767C">
        <w:t xml:space="preserve">ward and </w:t>
      </w:r>
      <w:r w:rsidR="003A4329" w:rsidRPr="0071767C">
        <w:t xml:space="preserve">board rounds, and either joint or independent perioperative patient review throughout the day. </w:t>
      </w:r>
      <w:r w:rsidR="004A5FA9" w:rsidRPr="0071767C">
        <w:t xml:space="preserve">The post holder will often be part of the post-take ward round and will review acutely unwell emergency admissions as a representative of the peri-operative team. </w:t>
      </w:r>
      <w:r w:rsidR="008B73FF" w:rsidRPr="0071767C">
        <w:t xml:space="preserve">The post holder will attend surgical MET calls and </w:t>
      </w:r>
      <w:r w:rsidR="004A5FA9" w:rsidRPr="0071767C">
        <w:t>liais</w:t>
      </w:r>
      <w:r w:rsidR="008B73FF" w:rsidRPr="0071767C">
        <w:t>e</w:t>
      </w:r>
      <w:r w:rsidR="004A5FA9" w:rsidRPr="0071767C">
        <w:t xml:space="preserve"> with other specialist medical teams directly</w:t>
      </w:r>
      <w:r w:rsidR="00935749" w:rsidRPr="0071767C">
        <w:t>, with escalation back to the senior perioperative team</w:t>
      </w:r>
      <w:r w:rsidR="004A5FA9" w:rsidRPr="0071767C">
        <w:t>. This reduces the requirement for ad hoc medical registrar review as well as providing more timely and relevant general medical support. The post holder will support the maintenance of a patient list for use by the perioperative team, as well as taking referrals from the surgical teams and supporting the transition to white board referrals as this progresses. The post holder will also be specifically involved in supporting the care of patients with chest trauma, assisting in the provision of consistent</w:t>
      </w:r>
      <w:r w:rsidR="004A248C" w:rsidRPr="0071767C">
        <w:t>,</w:t>
      </w:r>
      <w:r w:rsidR="004A5FA9" w:rsidRPr="0071767C">
        <w:t xml:space="preserve"> early medical review and ensuring further review by senior members of the perioperative team as appropriate. Broadly, throughout the role, the trust doctor will be </w:t>
      </w:r>
      <w:r w:rsidR="004A5FA9" w:rsidRPr="0071767C">
        <w:lastRenderedPageBreak/>
        <w:t>representing the perioperative team and deputizing as required. Escalation will be to senior members of perioperative team.</w:t>
      </w:r>
    </w:p>
    <w:p w14:paraId="0A1674F9" w14:textId="77777777" w:rsidR="004A5FA9" w:rsidRPr="008028AB" w:rsidRDefault="004A5FA9" w:rsidP="004A5FA9">
      <w:pPr>
        <w:tabs>
          <w:tab w:val="left" w:pos="-720"/>
          <w:tab w:val="left" w:pos="0"/>
        </w:tabs>
        <w:suppressAutoHyphens/>
        <w:spacing w:line="360" w:lineRule="auto"/>
        <w:jc w:val="both"/>
        <w:rPr>
          <w:sz w:val="16"/>
          <w:szCs w:val="16"/>
        </w:rPr>
      </w:pPr>
    </w:p>
    <w:p w14:paraId="1A9231C0" w14:textId="10415B41" w:rsidR="0094551A" w:rsidRDefault="003A4329" w:rsidP="000E0112">
      <w:pPr>
        <w:tabs>
          <w:tab w:val="left" w:pos="-720"/>
          <w:tab w:val="left" w:pos="0"/>
        </w:tabs>
        <w:suppressAutoHyphens/>
        <w:spacing w:line="360" w:lineRule="auto"/>
        <w:jc w:val="both"/>
        <w:rPr>
          <w:highlight w:val="yellow"/>
        </w:rPr>
      </w:pPr>
      <w:r w:rsidRPr="002E640F">
        <w:t xml:space="preserve">There is a perioperative team meeting once per week for feedback, strategic planning and professional development. </w:t>
      </w:r>
      <w:r w:rsidR="00796627" w:rsidRPr="002E640F">
        <w:t xml:space="preserve">Approximately once per week there will be a structured MDT for individual case based discussion and planning. </w:t>
      </w:r>
      <w:r w:rsidRPr="002E640F">
        <w:t>Teaching is formally timetabled</w:t>
      </w:r>
      <w:r w:rsidR="00265F8D" w:rsidRPr="002E640F">
        <w:t>;</w:t>
      </w:r>
      <w:r w:rsidRPr="002E640F">
        <w:t xml:space="preserve"> </w:t>
      </w:r>
      <w:r w:rsidR="00265F8D" w:rsidRPr="002E640F">
        <w:t>one</w:t>
      </w:r>
      <w:r w:rsidRPr="002E640F">
        <w:t xml:space="preserve"> hour per week as well as </w:t>
      </w:r>
      <w:r w:rsidR="00265F8D" w:rsidRPr="002E640F">
        <w:t xml:space="preserve">ad hoc </w:t>
      </w:r>
      <w:r w:rsidRPr="002E640F">
        <w:t>at the bedside. Provision will be made to ensure SLE’</w:t>
      </w:r>
      <w:r w:rsidR="007B20A8">
        <w:t>s</w:t>
      </w:r>
      <w:r w:rsidRPr="002E640F">
        <w:t xml:space="preserve"> are completed</w:t>
      </w:r>
      <w:r w:rsidR="0013057F" w:rsidRPr="002E640F">
        <w:t xml:space="preserve"> to evidence attainment of the curriculum for relevant colleges</w:t>
      </w:r>
      <w:r w:rsidRPr="002E640F">
        <w:t>.</w:t>
      </w:r>
      <w:r w:rsidR="004A5FA9" w:rsidRPr="002E640F">
        <w:t xml:space="preserve"> </w:t>
      </w:r>
    </w:p>
    <w:p w14:paraId="758B5C8D" w14:textId="77777777" w:rsidR="008F5B3E" w:rsidRDefault="008F5B3E" w:rsidP="000E0112">
      <w:pPr>
        <w:tabs>
          <w:tab w:val="left" w:pos="-720"/>
          <w:tab w:val="left" w:pos="0"/>
        </w:tabs>
        <w:suppressAutoHyphens/>
        <w:spacing w:line="360" w:lineRule="auto"/>
        <w:jc w:val="both"/>
        <w:rPr>
          <w:highlight w:val="yellow"/>
        </w:rPr>
      </w:pPr>
    </w:p>
    <w:p w14:paraId="7E6A8A33" w14:textId="77777777" w:rsidR="008F5B3E" w:rsidRPr="002E640F" w:rsidRDefault="001748C7" w:rsidP="000E0112">
      <w:pPr>
        <w:tabs>
          <w:tab w:val="left" w:pos="-720"/>
          <w:tab w:val="left" w:pos="0"/>
        </w:tabs>
        <w:suppressAutoHyphens/>
        <w:spacing w:line="360" w:lineRule="auto"/>
        <w:jc w:val="both"/>
      </w:pPr>
      <w:r w:rsidRPr="002E640F">
        <w:t>During the rotation, it is envisaged that the F3</w:t>
      </w:r>
      <w:r w:rsidR="008F5B3E" w:rsidRPr="002E640F">
        <w:t xml:space="preserve"> would attend sessions in the anaesthetic department. Chiefly, observing </w:t>
      </w:r>
      <w:r w:rsidR="00331066" w:rsidRPr="002E640F">
        <w:t xml:space="preserve">emergency anaesthesia and attendance of a preoperative high-risk clinic. </w:t>
      </w:r>
      <w:r w:rsidR="003B53A8" w:rsidRPr="002E640F">
        <w:t>This would be consultant anaesthetist delivered.</w:t>
      </w:r>
      <w:r w:rsidR="00D45991" w:rsidRPr="002E640F">
        <w:t xml:space="preserve"> During the rotation, there would be </w:t>
      </w:r>
      <w:r w:rsidRPr="002E640F">
        <w:t>opportunities</w:t>
      </w:r>
      <w:r w:rsidR="00D45991" w:rsidRPr="002E640F">
        <w:t xml:space="preserve"> to attend Sidmouth Community Hospital, to gain understanding the full perioperative journey including rehabilitation.</w:t>
      </w:r>
    </w:p>
    <w:p w14:paraId="5844C5D4" w14:textId="77777777" w:rsidR="0094551A" w:rsidRPr="008028AB" w:rsidRDefault="0094551A" w:rsidP="000E0112">
      <w:pPr>
        <w:tabs>
          <w:tab w:val="left" w:pos="-720"/>
          <w:tab w:val="left" w:pos="0"/>
        </w:tabs>
        <w:suppressAutoHyphens/>
        <w:spacing w:line="360" w:lineRule="auto"/>
        <w:jc w:val="both"/>
        <w:rPr>
          <w:sz w:val="16"/>
          <w:szCs w:val="16"/>
        </w:rPr>
      </w:pPr>
    </w:p>
    <w:p w14:paraId="6166473B" w14:textId="77777777" w:rsidR="0094551A" w:rsidRDefault="00D928E0" w:rsidP="004A5FA9">
      <w:pPr>
        <w:tabs>
          <w:tab w:val="left" w:pos="-720"/>
          <w:tab w:val="left" w:pos="0"/>
        </w:tabs>
        <w:suppressAutoHyphens/>
        <w:spacing w:line="360" w:lineRule="auto"/>
        <w:jc w:val="both"/>
      </w:pPr>
      <w:r w:rsidRPr="002E640F">
        <w:t>Annual and Study Leave is with prior arrangement</w:t>
      </w:r>
      <w:r w:rsidR="00FC3ABE">
        <w:t xml:space="preserve">. </w:t>
      </w:r>
    </w:p>
    <w:p w14:paraId="2BC78DE2" w14:textId="77777777" w:rsidR="009C5D45" w:rsidRDefault="009C5D45" w:rsidP="004A5FA9">
      <w:pPr>
        <w:tabs>
          <w:tab w:val="left" w:pos="-720"/>
          <w:tab w:val="left" w:pos="0"/>
        </w:tabs>
        <w:suppressAutoHyphens/>
        <w:spacing w:line="360" w:lineRule="auto"/>
        <w:jc w:val="both"/>
      </w:pPr>
      <w:r>
        <w:t>Educational and clinical supervision would be provided by the Perioperative Consultants.</w:t>
      </w:r>
    </w:p>
    <w:p w14:paraId="219ADCB6" w14:textId="77777777" w:rsidR="00D204AD" w:rsidRDefault="00D204AD" w:rsidP="004A5FA9">
      <w:pPr>
        <w:tabs>
          <w:tab w:val="left" w:pos="-720"/>
          <w:tab w:val="left" w:pos="0"/>
        </w:tabs>
        <w:suppressAutoHyphens/>
        <w:spacing w:line="360" w:lineRule="auto"/>
        <w:jc w:val="both"/>
      </w:pPr>
    </w:p>
    <w:p w14:paraId="4D120224" w14:textId="77777777" w:rsidR="00D204AD" w:rsidRPr="00D204AD" w:rsidRDefault="00D204AD" w:rsidP="00D204AD">
      <w:pPr>
        <w:numPr>
          <w:ilvl w:val="0"/>
          <w:numId w:val="8"/>
        </w:numPr>
        <w:spacing w:line="259" w:lineRule="auto"/>
        <w:contextualSpacing/>
        <w:jc w:val="both"/>
        <w:rPr>
          <w:b/>
          <w:bCs/>
          <w:kern w:val="2"/>
          <w:u w:val="single"/>
          <w:lang w:val="en-GB"/>
          <w14:ligatures w14:val="standardContextual"/>
        </w:rPr>
      </w:pPr>
      <w:r w:rsidRPr="00D204AD">
        <w:rPr>
          <w:b/>
          <w:bCs/>
          <w:kern w:val="2"/>
          <w:u w:val="single"/>
          <w:lang w:val="en-GB"/>
          <w14:ligatures w14:val="standardContextual"/>
        </w:rPr>
        <w:t>Person Specification</w:t>
      </w:r>
    </w:p>
    <w:p w14:paraId="46E8F89E" w14:textId="77777777" w:rsidR="00D204AD" w:rsidRPr="00D204AD" w:rsidRDefault="00D204AD" w:rsidP="00D204AD">
      <w:pPr>
        <w:jc w:val="both"/>
        <w:rPr>
          <w:b/>
          <w:bCs/>
          <w:kern w:val="2"/>
          <w:lang w:val="en-GB"/>
          <w14:ligatures w14:val="standardContextual"/>
        </w:rPr>
      </w:pPr>
    </w:p>
    <w:tbl>
      <w:tblPr>
        <w:tblW w:w="92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18"/>
        <w:gridCol w:w="3383"/>
        <w:gridCol w:w="3384"/>
      </w:tblGrid>
      <w:tr w:rsidR="00D204AD" w:rsidRPr="00D204AD" w14:paraId="410D95F3" w14:textId="77777777" w:rsidTr="006F591C">
        <w:tc>
          <w:tcPr>
            <w:tcW w:w="2518" w:type="dxa"/>
          </w:tcPr>
          <w:p w14:paraId="7296A18F" w14:textId="77777777" w:rsidR="00D204AD" w:rsidRPr="00D204AD" w:rsidRDefault="00D204AD" w:rsidP="00D204AD">
            <w:pPr>
              <w:ind w:right="-20"/>
              <w:jc w:val="both"/>
              <w:rPr>
                <w:b/>
                <w:bCs/>
                <w:spacing w:val="-3"/>
                <w:lang w:val="en-GB"/>
              </w:rPr>
            </w:pPr>
          </w:p>
        </w:tc>
        <w:tc>
          <w:tcPr>
            <w:tcW w:w="3383" w:type="dxa"/>
          </w:tcPr>
          <w:p w14:paraId="17C0D4D3" w14:textId="77777777" w:rsidR="00D204AD" w:rsidRPr="00D204AD" w:rsidRDefault="00D204AD" w:rsidP="00D204AD">
            <w:pPr>
              <w:ind w:right="-20"/>
              <w:jc w:val="both"/>
              <w:rPr>
                <w:b/>
                <w:bCs/>
                <w:caps/>
                <w:lang w:val="en-GB"/>
              </w:rPr>
            </w:pPr>
            <w:r w:rsidRPr="00D204AD">
              <w:rPr>
                <w:b/>
                <w:bCs/>
                <w:caps/>
                <w:lang w:val="en-GB"/>
              </w:rPr>
              <w:t>ESSENTIAL</w:t>
            </w:r>
          </w:p>
        </w:tc>
        <w:tc>
          <w:tcPr>
            <w:tcW w:w="3384" w:type="dxa"/>
          </w:tcPr>
          <w:p w14:paraId="5BB16F74" w14:textId="77777777" w:rsidR="00D204AD" w:rsidRPr="00D204AD" w:rsidRDefault="00D204AD" w:rsidP="00D204AD">
            <w:pPr>
              <w:ind w:right="-20"/>
              <w:jc w:val="both"/>
              <w:rPr>
                <w:b/>
                <w:bCs/>
                <w:caps/>
                <w:lang w:val="en-GB"/>
              </w:rPr>
            </w:pPr>
            <w:r w:rsidRPr="00D204AD">
              <w:rPr>
                <w:b/>
                <w:bCs/>
                <w:caps/>
                <w:lang w:val="en-GB"/>
              </w:rPr>
              <w:t>DESIRABLE</w:t>
            </w:r>
          </w:p>
        </w:tc>
      </w:tr>
      <w:tr w:rsidR="00D204AD" w:rsidRPr="00D204AD" w14:paraId="7AA8EFE8" w14:textId="77777777" w:rsidTr="006F591C">
        <w:tc>
          <w:tcPr>
            <w:tcW w:w="2518" w:type="dxa"/>
          </w:tcPr>
          <w:p w14:paraId="413E58D4" w14:textId="77777777" w:rsidR="00D204AD" w:rsidRPr="00D204AD" w:rsidRDefault="00D204AD" w:rsidP="00D204AD">
            <w:pPr>
              <w:spacing w:before="60" w:after="60"/>
              <w:rPr>
                <w:b/>
                <w:bCs/>
                <w:spacing w:val="-3"/>
                <w:lang w:val="en-GB"/>
              </w:rPr>
            </w:pPr>
            <w:r w:rsidRPr="00D204AD">
              <w:rPr>
                <w:b/>
                <w:bCs/>
                <w:spacing w:val="-3"/>
                <w:lang w:val="en-GB"/>
              </w:rPr>
              <w:t>Qualifications and Training:</w:t>
            </w:r>
          </w:p>
        </w:tc>
        <w:tc>
          <w:tcPr>
            <w:tcW w:w="3383" w:type="dxa"/>
          </w:tcPr>
          <w:p w14:paraId="0F7AC804" w14:textId="77777777" w:rsidR="000E11F6" w:rsidRDefault="00D204AD" w:rsidP="000E11F6">
            <w:pPr>
              <w:numPr>
                <w:ilvl w:val="0"/>
                <w:numId w:val="10"/>
              </w:numPr>
              <w:spacing w:before="60" w:after="60"/>
              <w:contextualSpacing/>
              <w:rPr>
                <w:b/>
                <w:bCs/>
                <w:lang w:val="en-GB"/>
              </w:rPr>
            </w:pPr>
            <w:r w:rsidRPr="00D204AD">
              <w:rPr>
                <w:b/>
                <w:bCs/>
                <w:lang w:val="en-GB"/>
              </w:rPr>
              <w:t>Full GMC Registration and hold a licence to practise</w:t>
            </w:r>
            <w:r w:rsidR="00D42F64">
              <w:rPr>
                <w:b/>
                <w:bCs/>
                <w:lang w:val="en-GB"/>
              </w:rPr>
              <w:t xml:space="preserve"> in the UK</w:t>
            </w:r>
            <w:r w:rsidR="000E11F6">
              <w:rPr>
                <w:b/>
                <w:bCs/>
                <w:lang w:val="en-GB"/>
              </w:rPr>
              <w:t xml:space="preserve"> </w:t>
            </w:r>
          </w:p>
          <w:p w14:paraId="7DC8724F" w14:textId="7D4567F1" w:rsidR="000E11F6" w:rsidRPr="00D204AD" w:rsidRDefault="000E11F6" w:rsidP="000E11F6">
            <w:pPr>
              <w:numPr>
                <w:ilvl w:val="0"/>
                <w:numId w:val="10"/>
              </w:numPr>
              <w:spacing w:before="60" w:after="60"/>
              <w:contextualSpacing/>
              <w:rPr>
                <w:b/>
                <w:bCs/>
                <w:lang w:val="en-GB"/>
              </w:rPr>
            </w:pPr>
            <w:r>
              <w:rPr>
                <w:b/>
                <w:bCs/>
                <w:lang w:val="en-GB"/>
              </w:rPr>
              <w:t xml:space="preserve">Previous NHS </w:t>
            </w:r>
            <w:r w:rsidR="007B20A8">
              <w:rPr>
                <w:b/>
                <w:bCs/>
                <w:lang w:val="en-GB"/>
              </w:rPr>
              <w:t xml:space="preserve">salaried </w:t>
            </w:r>
            <w:r>
              <w:rPr>
                <w:b/>
                <w:bCs/>
                <w:lang w:val="en-GB"/>
              </w:rPr>
              <w:t>experience</w:t>
            </w:r>
          </w:p>
          <w:p w14:paraId="0FE296C8" w14:textId="77777777" w:rsidR="00D204AD" w:rsidRDefault="00D204AD" w:rsidP="000E11F6">
            <w:pPr>
              <w:spacing w:before="60" w:after="60"/>
              <w:ind w:left="360"/>
              <w:contextualSpacing/>
              <w:rPr>
                <w:b/>
                <w:bCs/>
                <w:lang w:val="en-GB"/>
              </w:rPr>
            </w:pPr>
          </w:p>
          <w:p w14:paraId="7E3B43EE" w14:textId="77777777" w:rsidR="00D204AD" w:rsidRPr="00D204AD" w:rsidRDefault="00D204AD" w:rsidP="00B07D29">
            <w:pPr>
              <w:spacing w:before="60" w:after="60"/>
              <w:contextualSpacing/>
              <w:rPr>
                <w:b/>
                <w:bCs/>
                <w:lang w:val="en-GB"/>
              </w:rPr>
            </w:pPr>
          </w:p>
        </w:tc>
        <w:tc>
          <w:tcPr>
            <w:tcW w:w="3384" w:type="dxa"/>
          </w:tcPr>
          <w:p w14:paraId="42A9F5AD" w14:textId="77777777" w:rsidR="00B1086A" w:rsidRDefault="00D204AD" w:rsidP="00B1086A">
            <w:pPr>
              <w:numPr>
                <w:ilvl w:val="0"/>
                <w:numId w:val="10"/>
              </w:numPr>
              <w:spacing w:before="60" w:after="60"/>
              <w:contextualSpacing/>
              <w:rPr>
                <w:b/>
                <w:bCs/>
                <w:lang w:val="en-GB"/>
              </w:rPr>
            </w:pPr>
            <w:r w:rsidRPr="00D204AD">
              <w:rPr>
                <w:lang w:val="en-GB"/>
              </w:rPr>
              <w:t>BSc, MSc</w:t>
            </w:r>
            <w:r w:rsidR="00B1086A">
              <w:rPr>
                <w:b/>
                <w:bCs/>
                <w:lang w:val="en-GB"/>
              </w:rPr>
              <w:t xml:space="preserve"> </w:t>
            </w:r>
          </w:p>
          <w:p w14:paraId="57D0A724" w14:textId="77777777" w:rsidR="00D204AD" w:rsidRPr="00D204AD" w:rsidRDefault="00D204AD" w:rsidP="000E11F6">
            <w:pPr>
              <w:spacing w:before="60" w:after="60"/>
              <w:contextualSpacing/>
              <w:rPr>
                <w:lang w:val="en-GB"/>
              </w:rPr>
            </w:pPr>
          </w:p>
        </w:tc>
      </w:tr>
      <w:tr w:rsidR="00D204AD" w:rsidRPr="00D204AD" w14:paraId="0FC25F13" w14:textId="77777777" w:rsidTr="006F591C">
        <w:tc>
          <w:tcPr>
            <w:tcW w:w="2518" w:type="dxa"/>
          </w:tcPr>
          <w:p w14:paraId="3E08A3B3" w14:textId="77777777" w:rsidR="00D204AD" w:rsidRPr="00D204AD" w:rsidRDefault="00D204AD" w:rsidP="00D204AD">
            <w:pPr>
              <w:spacing w:before="60" w:after="60"/>
              <w:rPr>
                <w:b/>
                <w:bCs/>
                <w:spacing w:val="-3"/>
                <w:lang w:val="en-GB"/>
              </w:rPr>
            </w:pPr>
            <w:r w:rsidRPr="00D204AD">
              <w:rPr>
                <w:b/>
                <w:bCs/>
                <w:spacing w:val="-3"/>
                <w:lang w:val="en-GB"/>
              </w:rPr>
              <w:t>Clinical Experience:</w:t>
            </w:r>
          </w:p>
          <w:p w14:paraId="6C7CCCC9" w14:textId="77777777" w:rsidR="00D204AD" w:rsidRPr="00D204AD" w:rsidRDefault="00D204AD" w:rsidP="00D204AD">
            <w:pPr>
              <w:spacing w:before="60" w:after="60"/>
              <w:rPr>
                <w:b/>
                <w:bCs/>
                <w:spacing w:val="-3"/>
                <w:lang w:val="en-GB"/>
              </w:rPr>
            </w:pPr>
          </w:p>
          <w:p w14:paraId="0AC93528" w14:textId="77777777" w:rsidR="00D204AD" w:rsidRPr="00D204AD" w:rsidRDefault="00D204AD" w:rsidP="00D204AD">
            <w:pPr>
              <w:spacing w:before="60" w:after="60"/>
              <w:rPr>
                <w:b/>
                <w:bCs/>
                <w:spacing w:val="-3"/>
                <w:lang w:val="en-GB"/>
              </w:rPr>
            </w:pPr>
          </w:p>
        </w:tc>
        <w:tc>
          <w:tcPr>
            <w:tcW w:w="3383" w:type="dxa"/>
          </w:tcPr>
          <w:p w14:paraId="6408F601" w14:textId="77777777" w:rsidR="00D204AD" w:rsidRPr="00D204AD" w:rsidRDefault="00D42F64" w:rsidP="00D204AD">
            <w:pPr>
              <w:spacing w:before="60" w:after="60"/>
              <w:rPr>
                <w:lang w:val="en-GB"/>
              </w:rPr>
            </w:pPr>
            <w:r>
              <w:rPr>
                <w:lang w:val="en-GB"/>
              </w:rPr>
              <w:t>Solid</w:t>
            </w:r>
            <w:r w:rsidR="00D204AD" w:rsidRPr="00D204AD">
              <w:rPr>
                <w:lang w:val="en-GB"/>
              </w:rPr>
              <w:t xml:space="preserve"> clinical experience in geriatrics/general internal medicine</w:t>
            </w:r>
            <w:r w:rsidR="00D204AD">
              <w:rPr>
                <w:lang w:val="en-GB"/>
              </w:rPr>
              <w:t xml:space="preserve"> (at least 6 months of either)</w:t>
            </w:r>
            <w:r w:rsidR="00D204AD" w:rsidRPr="00D204AD">
              <w:rPr>
                <w:lang w:val="en-GB"/>
              </w:rPr>
              <w:t xml:space="preserve"> or in Perioperative Medicine</w:t>
            </w:r>
          </w:p>
        </w:tc>
        <w:tc>
          <w:tcPr>
            <w:tcW w:w="3384" w:type="dxa"/>
          </w:tcPr>
          <w:p w14:paraId="46D2603A" w14:textId="77777777" w:rsidR="00D204AD" w:rsidRPr="00D204AD" w:rsidRDefault="00D204AD" w:rsidP="00D204AD">
            <w:pPr>
              <w:spacing w:before="60" w:after="60"/>
              <w:rPr>
                <w:lang w:val="en-GB"/>
              </w:rPr>
            </w:pPr>
            <w:r>
              <w:rPr>
                <w:lang w:val="en-GB"/>
              </w:rPr>
              <w:t>Acute medical and Geriatric rotations (at least 1 year)</w:t>
            </w:r>
          </w:p>
        </w:tc>
      </w:tr>
      <w:tr w:rsidR="00D204AD" w:rsidRPr="00D204AD" w14:paraId="7F36ABBE" w14:textId="77777777" w:rsidTr="006F591C">
        <w:tc>
          <w:tcPr>
            <w:tcW w:w="2518" w:type="dxa"/>
          </w:tcPr>
          <w:p w14:paraId="2EC612C0" w14:textId="77777777" w:rsidR="00D204AD" w:rsidRPr="00D204AD" w:rsidRDefault="00D204AD" w:rsidP="00D204AD">
            <w:pPr>
              <w:spacing w:before="60" w:after="60"/>
              <w:rPr>
                <w:b/>
                <w:bCs/>
                <w:spacing w:val="-3"/>
                <w:lang w:val="en-GB"/>
              </w:rPr>
            </w:pPr>
            <w:r w:rsidRPr="00D204AD">
              <w:rPr>
                <w:b/>
                <w:bCs/>
                <w:spacing w:val="-3"/>
                <w:lang w:val="en-GB"/>
              </w:rPr>
              <w:t>Knowledge and Skills:</w:t>
            </w:r>
          </w:p>
          <w:p w14:paraId="7FCA2816" w14:textId="77777777" w:rsidR="00D204AD" w:rsidRPr="00D204AD" w:rsidRDefault="00D204AD" w:rsidP="00D204AD">
            <w:pPr>
              <w:spacing w:before="60" w:after="60"/>
              <w:rPr>
                <w:b/>
                <w:bCs/>
                <w:spacing w:val="-3"/>
                <w:lang w:val="en-GB"/>
              </w:rPr>
            </w:pPr>
          </w:p>
        </w:tc>
        <w:tc>
          <w:tcPr>
            <w:tcW w:w="3383" w:type="dxa"/>
          </w:tcPr>
          <w:p w14:paraId="0970DA1E" w14:textId="77777777" w:rsidR="00D204AD" w:rsidRDefault="00D204AD" w:rsidP="00D204AD">
            <w:pPr>
              <w:spacing w:before="60" w:after="60"/>
              <w:rPr>
                <w:lang w:val="en-GB"/>
              </w:rPr>
            </w:pPr>
            <w:r w:rsidRPr="00D204AD">
              <w:rPr>
                <w:lang w:val="en-GB"/>
              </w:rPr>
              <w:t>Ability to work</w:t>
            </w:r>
            <w:r w:rsidR="00D42F64">
              <w:rPr>
                <w:lang w:val="en-GB"/>
              </w:rPr>
              <w:t xml:space="preserve"> and communicate</w:t>
            </w:r>
            <w:r w:rsidRPr="00D204AD">
              <w:rPr>
                <w:lang w:val="en-GB"/>
              </w:rPr>
              <w:t xml:space="preserve"> as an effective member of a multidisciplinary team</w:t>
            </w:r>
          </w:p>
          <w:p w14:paraId="496C69C5" w14:textId="77777777" w:rsidR="00D204AD" w:rsidRDefault="00D204AD" w:rsidP="00D204AD">
            <w:pPr>
              <w:spacing w:before="60" w:after="60"/>
              <w:rPr>
                <w:lang w:val="en-GB"/>
              </w:rPr>
            </w:pPr>
          </w:p>
          <w:p w14:paraId="5F227F3C" w14:textId="77777777" w:rsidR="00D204AD" w:rsidRPr="00D204AD" w:rsidRDefault="00D204AD" w:rsidP="00D204AD">
            <w:pPr>
              <w:spacing w:before="60" w:after="60"/>
              <w:rPr>
                <w:lang w:val="en-GB"/>
              </w:rPr>
            </w:pPr>
            <w:r>
              <w:rPr>
                <w:lang w:val="en-GB"/>
              </w:rPr>
              <w:t>Very good communication skills including fluent and advanced English language speaking skills.</w:t>
            </w:r>
          </w:p>
          <w:p w14:paraId="49780460" w14:textId="77777777" w:rsidR="00D204AD" w:rsidRPr="00D204AD" w:rsidRDefault="00D204AD" w:rsidP="00D204AD">
            <w:pPr>
              <w:spacing w:before="60" w:after="60"/>
              <w:rPr>
                <w:lang w:val="en-GB"/>
              </w:rPr>
            </w:pPr>
          </w:p>
        </w:tc>
        <w:tc>
          <w:tcPr>
            <w:tcW w:w="3384" w:type="dxa"/>
          </w:tcPr>
          <w:p w14:paraId="1C4CC014" w14:textId="77777777" w:rsidR="00D204AD" w:rsidRPr="00D204AD" w:rsidRDefault="00D204AD" w:rsidP="00D204AD">
            <w:pPr>
              <w:numPr>
                <w:ilvl w:val="0"/>
                <w:numId w:val="9"/>
              </w:numPr>
              <w:spacing w:before="60" w:after="60"/>
              <w:contextualSpacing/>
              <w:rPr>
                <w:lang w:val="en-GB"/>
              </w:rPr>
            </w:pPr>
            <w:r w:rsidRPr="00D204AD">
              <w:rPr>
                <w:lang w:val="en-GB"/>
              </w:rPr>
              <w:t>Familiarity with literature relating to perioperative medicine in older people</w:t>
            </w:r>
          </w:p>
          <w:p w14:paraId="477173A4" w14:textId="77777777" w:rsidR="00D204AD" w:rsidRPr="00D204AD" w:rsidRDefault="00D204AD" w:rsidP="00D204AD">
            <w:pPr>
              <w:numPr>
                <w:ilvl w:val="0"/>
                <w:numId w:val="9"/>
              </w:numPr>
              <w:spacing w:before="60" w:after="60"/>
              <w:contextualSpacing/>
              <w:rPr>
                <w:lang w:val="en-GB"/>
              </w:rPr>
            </w:pPr>
            <w:r w:rsidRPr="00D204AD">
              <w:rPr>
                <w:lang w:val="en-GB"/>
              </w:rPr>
              <w:t>Skills in implementing change</w:t>
            </w:r>
          </w:p>
          <w:p w14:paraId="666E3324" w14:textId="77777777" w:rsidR="00D204AD" w:rsidRPr="00D204AD" w:rsidRDefault="00D204AD" w:rsidP="00D204AD">
            <w:pPr>
              <w:numPr>
                <w:ilvl w:val="0"/>
                <w:numId w:val="9"/>
              </w:numPr>
              <w:spacing w:before="60" w:after="60"/>
              <w:contextualSpacing/>
              <w:rPr>
                <w:lang w:val="en-GB"/>
              </w:rPr>
            </w:pPr>
            <w:r w:rsidRPr="00D204AD">
              <w:rPr>
                <w:lang w:val="en-GB"/>
              </w:rPr>
              <w:t>Writing for publication</w:t>
            </w:r>
          </w:p>
          <w:p w14:paraId="2CACE0BE" w14:textId="77777777" w:rsidR="00D204AD" w:rsidRPr="00D204AD" w:rsidRDefault="00D204AD" w:rsidP="00D204AD">
            <w:pPr>
              <w:numPr>
                <w:ilvl w:val="0"/>
                <w:numId w:val="9"/>
              </w:numPr>
              <w:spacing w:before="60" w:after="60"/>
              <w:contextualSpacing/>
              <w:rPr>
                <w:lang w:val="en-GB"/>
              </w:rPr>
            </w:pPr>
            <w:r w:rsidRPr="00D204AD">
              <w:rPr>
                <w:lang w:val="en-GB"/>
              </w:rPr>
              <w:t>Attendance at a perioperative medicine conference</w:t>
            </w:r>
          </w:p>
        </w:tc>
      </w:tr>
      <w:tr w:rsidR="00D204AD" w:rsidRPr="00D204AD" w14:paraId="5DCF52C4" w14:textId="77777777" w:rsidTr="006F591C">
        <w:tc>
          <w:tcPr>
            <w:tcW w:w="2518" w:type="dxa"/>
          </w:tcPr>
          <w:p w14:paraId="6F67863E" w14:textId="77777777" w:rsidR="00D204AD" w:rsidRPr="00D204AD" w:rsidRDefault="00D204AD" w:rsidP="00D204AD">
            <w:pPr>
              <w:spacing w:before="60" w:after="60"/>
              <w:rPr>
                <w:b/>
                <w:bCs/>
                <w:spacing w:val="-3"/>
                <w:lang w:val="en-GB"/>
              </w:rPr>
            </w:pPr>
            <w:r w:rsidRPr="00D204AD">
              <w:rPr>
                <w:b/>
                <w:bCs/>
                <w:spacing w:val="-3"/>
                <w:lang w:val="en-GB"/>
              </w:rPr>
              <w:lastRenderedPageBreak/>
              <w:t>Research:</w:t>
            </w:r>
          </w:p>
          <w:p w14:paraId="7195D9DA" w14:textId="77777777" w:rsidR="00D204AD" w:rsidRPr="00D204AD" w:rsidRDefault="00D204AD" w:rsidP="00D204AD">
            <w:pPr>
              <w:spacing w:before="60" w:after="60"/>
              <w:rPr>
                <w:b/>
                <w:bCs/>
                <w:spacing w:val="-3"/>
                <w:lang w:val="en-GB"/>
              </w:rPr>
            </w:pPr>
          </w:p>
          <w:p w14:paraId="1CD37E9A" w14:textId="77777777" w:rsidR="00D204AD" w:rsidRPr="00D204AD" w:rsidRDefault="00D204AD" w:rsidP="00D204AD">
            <w:pPr>
              <w:spacing w:before="60" w:after="60"/>
              <w:rPr>
                <w:b/>
                <w:bCs/>
                <w:spacing w:val="-3"/>
                <w:lang w:val="en-GB"/>
              </w:rPr>
            </w:pPr>
          </w:p>
        </w:tc>
        <w:tc>
          <w:tcPr>
            <w:tcW w:w="3383" w:type="dxa"/>
          </w:tcPr>
          <w:p w14:paraId="78AC9DE7" w14:textId="77777777" w:rsidR="00D204AD" w:rsidRPr="00D204AD" w:rsidRDefault="00D204AD" w:rsidP="00D204AD">
            <w:pPr>
              <w:spacing w:before="60" w:after="60"/>
              <w:rPr>
                <w:lang w:val="en-GB"/>
              </w:rPr>
            </w:pPr>
            <w:r w:rsidRPr="00D204AD">
              <w:rPr>
                <w:lang w:val="en-GB"/>
              </w:rPr>
              <w:t>Understanding of the principles and applications of clinical research</w:t>
            </w:r>
          </w:p>
        </w:tc>
        <w:tc>
          <w:tcPr>
            <w:tcW w:w="3384" w:type="dxa"/>
          </w:tcPr>
          <w:p w14:paraId="11329D75" w14:textId="77777777" w:rsidR="00D204AD" w:rsidRPr="00D204AD" w:rsidRDefault="00D204AD" w:rsidP="00D204AD">
            <w:pPr>
              <w:spacing w:before="60" w:after="60"/>
              <w:rPr>
                <w:lang w:val="en-GB"/>
              </w:rPr>
            </w:pPr>
            <w:r w:rsidRPr="00D204AD">
              <w:rPr>
                <w:lang w:val="en-GB"/>
              </w:rPr>
              <w:t>Evidence of original research</w:t>
            </w:r>
          </w:p>
        </w:tc>
      </w:tr>
      <w:tr w:rsidR="00D204AD" w:rsidRPr="00D204AD" w14:paraId="11BA2162" w14:textId="77777777" w:rsidTr="006F591C">
        <w:tc>
          <w:tcPr>
            <w:tcW w:w="2518" w:type="dxa"/>
          </w:tcPr>
          <w:p w14:paraId="75A70B0E" w14:textId="77777777" w:rsidR="00D204AD" w:rsidRPr="00D204AD" w:rsidRDefault="00D204AD" w:rsidP="00D204AD">
            <w:pPr>
              <w:spacing w:before="60" w:after="60"/>
              <w:rPr>
                <w:b/>
                <w:bCs/>
                <w:lang w:val="en-GB"/>
              </w:rPr>
            </w:pPr>
            <w:r w:rsidRPr="00D204AD">
              <w:rPr>
                <w:b/>
                <w:bCs/>
                <w:lang w:val="en-GB"/>
              </w:rPr>
              <w:t>Teaching:</w:t>
            </w:r>
          </w:p>
          <w:p w14:paraId="246020D5" w14:textId="77777777" w:rsidR="00D204AD" w:rsidRPr="00D204AD" w:rsidRDefault="00D204AD" w:rsidP="00D204AD">
            <w:pPr>
              <w:spacing w:before="60" w:after="60"/>
              <w:rPr>
                <w:b/>
                <w:bCs/>
                <w:lang w:val="en-GB"/>
              </w:rPr>
            </w:pPr>
          </w:p>
          <w:p w14:paraId="16D851E4" w14:textId="77777777" w:rsidR="00D204AD" w:rsidRPr="00D204AD" w:rsidRDefault="00D204AD" w:rsidP="00D204AD">
            <w:pPr>
              <w:spacing w:before="60" w:after="60"/>
              <w:rPr>
                <w:b/>
                <w:bCs/>
                <w:lang w:val="en-GB"/>
              </w:rPr>
            </w:pPr>
          </w:p>
        </w:tc>
        <w:tc>
          <w:tcPr>
            <w:tcW w:w="3383" w:type="dxa"/>
          </w:tcPr>
          <w:p w14:paraId="03CA4863" w14:textId="4DC22F0B" w:rsidR="00D204AD" w:rsidRPr="00D204AD" w:rsidRDefault="00D204AD" w:rsidP="00D204AD">
            <w:pPr>
              <w:spacing w:before="60" w:after="60"/>
              <w:rPr>
                <w:lang w:val="en-GB"/>
              </w:rPr>
            </w:pPr>
            <w:r w:rsidRPr="00D204AD">
              <w:rPr>
                <w:lang w:val="en-GB"/>
              </w:rPr>
              <w:t xml:space="preserve">Experience of undergraduate </w:t>
            </w:r>
            <w:r w:rsidR="007B20A8">
              <w:rPr>
                <w:lang w:val="en-GB"/>
              </w:rPr>
              <w:t>or postgraduate teaching</w:t>
            </w:r>
          </w:p>
        </w:tc>
        <w:tc>
          <w:tcPr>
            <w:tcW w:w="3384" w:type="dxa"/>
          </w:tcPr>
          <w:p w14:paraId="0247A60E" w14:textId="77777777" w:rsidR="00D204AD" w:rsidRPr="00D204AD" w:rsidRDefault="00D204AD" w:rsidP="00D204AD">
            <w:pPr>
              <w:spacing w:before="60" w:after="60"/>
              <w:rPr>
                <w:lang w:val="en-GB"/>
              </w:rPr>
            </w:pPr>
            <w:r w:rsidRPr="00D204AD">
              <w:rPr>
                <w:lang w:val="en-GB"/>
              </w:rPr>
              <w:t>Development of a teaching programme</w:t>
            </w:r>
          </w:p>
        </w:tc>
      </w:tr>
      <w:tr w:rsidR="00D204AD" w:rsidRPr="00D204AD" w14:paraId="16B8C6C0" w14:textId="77777777" w:rsidTr="006F591C">
        <w:tc>
          <w:tcPr>
            <w:tcW w:w="2518" w:type="dxa"/>
          </w:tcPr>
          <w:p w14:paraId="2C9F6C38" w14:textId="77777777" w:rsidR="00D204AD" w:rsidRPr="00D204AD" w:rsidRDefault="00D204AD" w:rsidP="00D204AD">
            <w:pPr>
              <w:spacing w:before="60" w:after="60"/>
              <w:rPr>
                <w:b/>
                <w:bCs/>
                <w:spacing w:val="-3"/>
                <w:lang w:val="en-GB"/>
              </w:rPr>
            </w:pPr>
            <w:r w:rsidRPr="00D204AD">
              <w:rPr>
                <w:b/>
                <w:bCs/>
                <w:spacing w:val="-3"/>
                <w:lang w:val="en-GB"/>
              </w:rPr>
              <w:t>Other:</w:t>
            </w:r>
          </w:p>
        </w:tc>
        <w:tc>
          <w:tcPr>
            <w:tcW w:w="3383" w:type="dxa"/>
          </w:tcPr>
          <w:p w14:paraId="7B0772FD" w14:textId="77777777" w:rsidR="00D204AD" w:rsidRPr="00D204AD" w:rsidRDefault="00D204AD" w:rsidP="00D204AD">
            <w:pPr>
              <w:spacing w:before="60" w:after="60"/>
              <w:rPr>
                <w:lang w:val="en-GB"/>
              </w:rPr>
            </w:pPr>
            <w:r w:rsidRPr="00D204AD">
              <w:rPr>
                <w:lang w:val="en-GB"/>
              </w:rPr>
              <w:t xml:space="preserve">Evidence of understanding of and adherence to the principles of </w:t>
            </w:r>
            <w:r w:rsidRPr="00D204AD">
              <w:rPr>
                <w:i/>
                <w:iCs/>
                <w:lang w:val="en-GB"/>
              </w:rPr>
              <w:t>Good Medical Practice</w:t>
            </w:r>
            <w:r w:rsidRPr="00D204AD">
              <w:rPr>
                <w:lang w:val="en-GB"/>
              </w:rPr>
              <w:t xml:space="preserve"> set out by the General Medical Council </w:t>
            </w:r>
          </w:p>
          <w:p w14:paraId="67D33B29" w14:textId="77777777" w:rsidR="00D204AD" w:rsidRPr="00D204AD" w:rsidRDefault="00D204AD" w:rsidP="00D204AD">
            <w:pPr>
              <w:spacing w:before="60" w:after="60"/>
              <w:rPr>
                <w:lang w:val="en-GB"/>
              </w:rPr>
            </w:pPr>
          </w:p>
          <w:p w14:paraId="2D91796C" w14:textId="77777777" w:rsidR="00D204AD" w:rsidRPr="00D204AD" w:rsidRDefault="00D204AD" w:rsidP="00D204AD">
            <w:pPr>
              <w:spacing w:before="60" w:after="60"/>
              <w:rPr>
                <w:lang w:val="en-GB"/>
              </w:rPr>
            </w:pPr>
            <w:r w:rsidRPr="00D204AD">
              <w:rPr>
                <w:lang w:val="en-GB"/>
              </w:rPr>
              <w:t>Evidence of contribution to effective clinical audit and clinical risk management</w:t>
            </w:r>
          </w:p>
        </w:tc>
        <w:tc>
          <w:tcPr>
            <w:tcW w:w="3384" w:type="dxa"/>
          </w:tcPr>
          <w:p w14:paraId="40EC02CB" w14:textId="77777777" w:rsidR="00D204AD" w:rsidRPr="00D204AD" w:rsidRDefault="00D204AD" w:rsidP="00D204AD">
            <w:pPr>
              <w:spacing w:before="60" w:after="60"/>
              <w:rPr>
                <w:lang w:val="en-GB"/>
              </w:rPr>
            </w:pPr>
            <w:r w:rsidRPr="00D204AD">
              <w:rPr>
                <w:lang w:val="en-GB"/>
              </w:rPr>
              <w:t>Experience in clinical guideline development</w:t>
            </w:r>
          </w:p>
          <w:p w14:paraId="3934086D" w14:textId="77777777" w:rsidR="00D204AD" w:rsidRPr="00D204AD" w:rsidRDefault="00D204AD" w:rsidP="00D204AD">
            <w:pPr>
              <w:spacing w:before="60" w:after="60"/>
              <w:rPr>
                <w:kern w:val="2"/>
                <w:lang w:val="en-GB"/>
                <w14:ligatures w14:val="standardContextual"/>
              </w:rPr>
            </w:pPr>
          </w:p>
          <w:p w14:paraId="1C341FE8" w14:textId="77777777" w:rsidR="00D204AD" w:rsidRPr="00D204AD" w:rsidRDefault="00D204AD" w:rsidP="00D204AD">
            <w:pPr>
              <w:spacing w:before="60" w:after="60"/>
              <w:rPr>
                <w:lang w:val="en-GB"/>
              </w:rPr>
            </w:pPr>
          </w:p>
        </w:tc>
      </w:tr>
    </w:tbl>
    <w:p w14:paraId="49AD6175" w14:textId="77777777" w:rsidR="00D204AD" w:rsidRPr="00682A35" w:rsidRDefault="00D204AD" w:rsidP="004A5FA9">
      <w:pPr>
        <w:tabs>
          <w:tab w:val="left" w:pos="-720"/>
          <w:tab w:val="left" w:pos="0"/>
        </w:tabs>
        <w:suppressAutoHyphens/>
        <w:spacing w:line="360" w:lineRule="auto"/>
        <w:jc w:val="both"/>
      </w:pPr>
    </w:p>
    <w:p w14:paraId="1B8097B4" w14:textId="77777777" w:rsidR="00C561F2" w:rsidRPr="008028AB" w:rsidRDefault="00C561F2" w:rsidP="00682A35">
      <w:pPr>
        <w:tabs>
          <w:tab w:val="left" w:pos="-720"/>
          <w:tab w:val="left" w:pos="0"/>
        </w:tabs>
        <w:suppressAutoHyphens/>
        <w:ind w:right="534"/>
        <w:jc w:val="both"/>
        <w:rPr>
          <w:b/>
          <w:sz w:val="16"/>
          <w:szCs w:val="16"/>
          <w:u w:val="single"/>
        </w:rPr>
      </w:pPr>
    </w:p>
    <w:p w14:paraId="2F4891D5" w14:textId="77777777" w:rsidR="00682A35" w:rsidRDefault="00682A35" w:rsidP="00682A35">
      <w:pPr>
        <w:tabs>
          <w:tab w:val="left" w:pos="-720"/>
          <w:tab w:val="left" w:pos="0"/>
        </w:tabs>
        <w:suppressAutoHyphens/>
        <w:ind w:right="534"/>
        <w:jc w:val="both"/>
        <w:rPr>
          <w:b/>
          <w:u w:val="single"/>
        </w:rPr>
      </w:pPr>
      <w:r>
        <w:rPr>
          <w:b/>
          <w:u w:val="single"/>
        </w:rPr>
        <w:t>Rota</w:t>
      </w:r>
    </w:p>
    <w:p w14:paraId="0E0F7020" w14:textId="77777777" w:rsidR="00BC74B7" w:rsidRPr="002E1937" w:rsidRDefault="00BC74B7" w:rsidP="00682A35">
      <w:pPr>
        <w:tabs>
          <w:tab w:val="left" w:pos="-720"/>
          <w:tab w:val="left" w:pos="0"/>
        </w:tabs>
        <w:suppressAutoHyphens/>
        <w:ind w:right="534"/>
        <w:jc w:val="both"/>
        <w:rPr>
          <w:b/>
          <w:sz w:val="16"/>
          <w:szCs w:val="16"/>
          <w:u w:val="single"/>
        </w:rPr>
      </w:pPr>
    </w:p>
    <w:p w14:paraId="014D23A4" w14:textId="77777777" w:rsidR="00682A35" w:rsidRDefault="00FC3ABE" w:rsidP="00BC74B7">
      <w:pPr>
        <w:pStyle w:val="BodyText"/>
      </w:pPr>
      <w:r>
        <w:t>Currently we do not cover weekends or bank holidays. However, this could change during the post. This will be for weekends and bank holidays only though.</w:t>
      </w:r>
      <w:r w:rsidR="001748C7" w:rsidRPr="002E640F">
        <w:t xml:space="preserve"> There is no night time on-call commitment. </w:t>
      </w:r>
      <w:r w:rsidR="00682A35" w:rsidRPr="002E640F">
        <w:t xml:space="preserve">In emergencies and exceptional </w:t>
      </w:r>
      <w:r w:rsidR="00B1086A" w:rsidRPr="002E640F">
        <w:t>circumstances,</w:t>
      </w:r>
      <w:r w:rsidR="00682A35" w:rsidRPr="002E640F">
        <w:t xml:space="preserve"> the </w:t>
      </w:r>
      <w:r w:rsidR="001748C7" w:rsidRPr="002E640F">
        <w:t>F3</w:t>
      </w:r>
      <w:r w:rsidR="00E93685" w:rsidRPr="002E640F">
        <w:t xml:space="preserve"> </w:t>
      </w:r>
      <w:r w:rsidR="00682A35" w:rsidRPr="002E640F">
        <w:t>will be expected to provide cover for the absences of colleagues, provided the resulting increase</w:t>
      </w:r>
      <w:r w:rsidR="00682A35">
        <w:t xml:space="preserve"> in workload is reasonable</w:t>
      </w:r>
      <w:r w:rsidR="001748C7">
        <w:t>.</w:t>
      </w:r>
      <w:r w:rsidR="008028AB">
        <w:t xml:space="preserve"> </w:t>
      </w:r>
      <w:r w:rsidR="00354212">
        <w:t>All</w:t>
      </w:r>
      <w:r w:rsidR="00DF6B01">
        <w:t xml:space="preserve"> </w:t>
      </w:r>
      <w:r w:rsidR="00E93685">
        <w:t>Doctor</w:t>
      </w:r>
      <w:r w:rsidR="00354212">
        <w:t xml:space="preserve">s will </w:t>
      </w:r>
      <w:r w:rsidR="00682A35">
        <w:t>be expected to prospectively cover colleagues in the normal run of his/her</w:t>
      </w:r>
      <w:r w:rsidR="001748C7">
        <w:t xml:space="preserve"> duties within his/her contract. W</w:t>
      </w:r>
      <w:r w:rsidR="00682A35">
        <w:t xml:space="preserve">ork outside </w:t>
      </w:r>
      <w:r w:rsidR="00354212">
        <w:t xml:space="preserve">normal </w:t>
      </w:r>
      <w:r w:rsidR="00682A35">
        <w:t>contracted hours performed under these circumstances will be payable at standard duties</w:t>
      </w:r>
      <w:r w:rsidR="00354212">
        <w:t xml:space="preserve"> and in line both with current and or Junior Doctor Contact if and when this is implemented.</w:t>
      </w:r>
      <w:r w:rsidR="00F54EDC">
        <w:t xml:space="preserve"> </w:t>
      </w:r>
    </w:p>
    <w:p w14:paraId="075CFDE8" w14:textId="77777777" w:rsidR="00682A35" w:rsidRDefault="00682A35">
      <w:pPr>
        <w:jc w:val="both"/>
      </w:pPr>
    </w:p>
    <w:p w14:paraId="15857105" w14:textId="77777777" w:rsidR="00682A35" w:rsidRDefault="00682A35" w:rsidP="00682A35">
      <w:pPr>
        <w:pStyle w:val="Heading1"/>
        <w:jc w:val="both"/>
      </w:pPr>
      <w:r w:rsidRPr="008D3A30">
        <w:t xml:space="preserve">Salary </w:t>
      </w:r>
    </w:p>
    <w:p w14:paraId="3B4D9396" w14:textId="77777777" w:rsidR="00BC74B7" w:rsidRPr="002E1937" w:rsidRDefault="00BC74B7" w:rsidP="00BC74B7">
      <w:pPr>
        <w:rPr>
          <w:sz w:val="16"/>
          <w:szCs w:val="16"/>
        </w:rPr>
      </w:pPr>
    </w:p>
    <w:p w14:paraId="2A23BD9E" w14:textId="77777777" w:rsidR="00FA6D2D" w:rsidRPr="00F80DF4" w:rsidRDefault="00E67CA3" w:rsidP="00682A35">
      <w:pPr>
        <w:jc w:val="both"/>
      </w:pPr>
      <w:r w:rsidRPr="00C561F2">
        <w:t>Equivale</w:t>
      </w:r>
      <w:r w:rsidR="00FC3ABE">
        <w:t>nt to grade</w:t>
      </w:r>
    </w:p>
    <w:p w14:paraId="382E2992" w14:textId="77777777" w:rsidR="00C561F2" w:rsidRPr="00F80DF4" w:rsidRDefault="00C561F2" w:rsidP="008D3A30">
      <w:pPr>
        <w:pStyle w:val="Heading5"/>
        <w:shd w:val="clear" w:color="auto" w:fill="FFFFFF"/>
        <w:spacing w:before="0" w:after="0"/>
        <w:jc w:val="both"/>
        <w:rPr>
          <w:b w:val="0"/>
          <w:bCs w:val="0"/>
          <w:i w:val="0"/>
          <w:iCs w:val="0"/>
          <w:sz w:val="22"/>
          <w:szCs w:val="22"/>
        </w:rPr>
      </w:pPr>
    </w:p>
    <w:p w14:paraId="5DFD9157" w14:textId="77777777" w:rsidR="008D3A30" w:rsidRDefault="008D3A30" w:rsidP="008D3A30">
      <w:pPr>
        <w:pStyle w:val="Heading5"/>
        <w:shd w:val="clear" w:color="auto" w:fill="FFFFFF"/>
        <w:spacing w:before="0" w:after="0"/>
        <w:jc w:val="both"/>
        <w:rPr>
          <w:i w:val="0"/>
          <w:sz w:val="22"/>
          <w:szCs w:val="22"/>
          <w:u w:val="single"/>
        </w:rPr>
      </w:pPr>
      <w:r w:rsidRPr="008D3A30">
        <w:rPr>
          <w:i w:val="0"/>
          <w:sz w:val="22"/>
          <w:szCs w:val="22"/>
          <w:u w:val="single"/>
        </w:rPr>
        <w:t>A</w:t>
      </w:r>
      <w:r>
        <w:rPr>
          <w:i w:val="0"/>
          <w:sz w:val="22"/>
          <w:szCs w:val="22"/>
          <w:u w:val="single"/>
        </w:rPr>
        <w:t>cademic facilities</w:t>
      </w:r>
    </w:p>
    <w:p w14:paraId="63BDA57F" w14:textId="77777777" w:rsidR="00BC74B7" w:rsidRPr="002E1937" w:rsidRDefault="00BC74B7" w:rsidP="00BC74B7">
      <w:pPr>
        <w:rPr>
          <w:sz w:val="16"/>
          <w:szCs w:val="16"/>
        </w:rPr>
      </w:pPr>
    </w:p>
    <w:p w14:paraId="7D82F2BE" w14:textId="77777777" w:rsidR="008D3A30" w:rsidRDefault="008D3A30" w:rsidP="00BC74B7">
      <w:pPr>
        <w:pStyle w:val="BodyText"/>
      </w:pPr>
      <w:r>
        <w:t>The Postgraduate Medical School of the University of Exeter, which is based on the RD&amp;E site, was the first Postgraduate Institute of its kind in a university outside London.  The research and educational activities are of the highest calibre as evidenced by the Queen’s Anniversary Prize for higher and further education awarded to the University of Exeter, reflecting the work of the School in 1996 and the award of the highest numerical grade 5 in the 1996 Research Assessment Exercise under the Hospital based clinical subjects unit of assessment.</w:t>
      </w:r>
    </w:p>
    <w:p w14:paraId="23A75BA9" w14:textId="77777777" w:rsidR="008D3A30" w:rsidRPr="008028AB" w:rsidRDefault="008D3A30" w:rsidP="00BC74B7">
      <w:pPr>
        <w:pStyle w:val="BodyText"/>
        <w:rPr>
          <w:sz w:val="16"/>
          <w:szCs w:val="16"/>
        </w:rPr>
      </w:pPr>
    </w:p>
    <w:p w14:paraId="667426F4" w14:textId="77777777" w:rsidR="008D3A30" w:rsidRDefault="008D3A30" w:rsidP="00BC74B7">
      <w:pPr>
        <w:pStyle w:val="BodyText"/>
      </w:pPr>
      <w:r>
        <w:t xml:space="preserve">The school is currently being expanded and restructured into three main divisions comprising:  Clinical (biomedical) science, and interdepartmental initiative linking basic scientists and clinical scientists; Community health sciences; and an Education Division embracing primary and secondary care, </w:t>
      </w:r>
      <w:r>
        <w:lastRenderedPageBreak/>
        <w:t>medical and allied professional education and training.</w:t>
      </w:r>
    </w:p>
    <w:p w14:paraId="11074033" w14:textId="77777777" w:rsidR="008D3A30" w:rsidRDefault="008D3A30" w:rsidP="00BC74B7">
      <w:pPr>
        <w:pStyle w:val="BodyText"/>
      </w:pPr>
      <w:r>
        <w:t>The Clinical Science Division embraces 8 key centres or units: Cancer Cell and Molecular Biology; Histopathology; Medical Physics; Clinical Microvascular Research; Molecular Genetics; Biological Chemistry; Clinical Physiological Measurement and Exercise Science.  The Community Health Division involves the Institute of General Practice; Complementary Medicine; Mental Health; The Centre for Evidence based social care; Child Health; The Institute of Population Studies.</w:t>
      </w:r>
    </w:p>
    <w:p w14:paraId="5E36AB09" w14:textId="77777777" w:rsidR="008028AB" w:rsidRPr="008028AB" w:rsidRDefault="008028AB" w:rsidP="00BC74B7">
      <w:pPr>
        <w:pStyle w:val="BodyText"/>
        <w:rPr>
          <w:sz w:val="14"/>
          <w:szCs w:val="12"/>
        </w:rPr>
      </w:pPr>
    </w:p>
    <w:p w14:paraId="724C4F2F" w14:textId="77777777" w:rsidR="008D3A30" w:rsidRDefault="008D3A30" w:rsidP="00BC74B7">
      <w:pPr>
        <w:pStyle w:val="BodyText"/>
      </w:pPr>
      <w:r>
        <w:t xml:space="preserve">In addition to these main divisions the school is subcontracted by the Trust to provide a research and development support unit funded by the regional directorate of research and development to facilitate NHS R&amp;D and the implementation of </w:t>
      </w:r>
      <w:r w:rsidR="00B1086A">
        <w:t>evidence-based</w:t>
      </w:r>
      <w:r>
        <w:t xml:space="preserve"> practice in the surrounding geographical area. The school currently has 42 members of senior academic staff, with chairs in General Practice, Clinical Histopathology, Vascular Medicine and Complementary Medicine and Readerships in Vascular Physiology and medicine.</w:t>
      </w:r>
    </w:p>
    <w:p w14:paraId="7486B2E2" w14:textId="77777777" w:rsidR="00BC74B7" w:rsidRPr="008028AB" w:rsidRDefault="00BC74B7" w:rsidP="00BC74B7">
      <w:pPr>
        <w:pStyle w:val="BodyText"/>
        <w:rPr>
          <w:sz w:val="12"/>
          <w:szCs w:val="12"/>
        </w:rPr>
      </w:pPr>
    </w:p>
    <w:p w14:paraId="6E898F32" w14:textId="77777777" w:rsidR="008D3A30" w:rsidRDefault="008D3A30" w:rsidP="00BC74B7">
      <w:pPr>
        <w:pStyle w:val="BodyText"/>
      </w:pPr>
      <w:r>
        <w:t>The Postgraduate Medical School and Postgraduate Medical Centre occupy buildings to the North West of the hospital site.  Facilities include seminar rooms, meeting rooms, a lecture theatre and a library as well as biomedical science laboratories.</w:t>
      </w:r>
    </w:p>
    <w:p w14:paraId="2E475E30" w14:textId="77777777" w:rsidR="008D3A30" w:rsidRPr="008028AB" w:rsidRDefault="008D3A30" w:rsidP="008D3A30">
      <w:pPr>
        <w:rPr>
          <w:sz w:val="12"/>
          <w:szCs w:val="12"/>
        </w:rPr>
      </w:pPr>
    </w:p>
    <w:p w14:paraId="02F51602" w14:textId="77777777" w:rsidR="00E93685" w:rsidRPr="002E1937" w:rsidRDefault="00E93685" w:rsidP="008D3A30">
      <w:pPr>
        <w:rPr>
          <w:sz w:val="16"/>
          <w:szCs w:val="16"/>
        </w:rPr>
      </w:pPr>
    </w:p>
    <w:p w14:paraId="0F59F18B" w14:textId="77777777" w:rsidR="00494A78" w:rsidRDefault="00494A78">
      <w:pPr>
        <w:pStyle w:val="Heading5"/>
        <w:shd w:val="clear" w:color="auto" w:fill="FFFFFF"/>
        <w:spacing w:before="0" w:after="0"/>
        <w:jc w:val="both"/>
        <w:rPr>
          <w:i w:val="0"/>
          <w:sz w:val="22"/>
          <w:szCs w:val="22"/>
          <w:u w:val="single"/>
        </w:rPr>
      </w:pPr>
      <w:r w:rsidRPr="008D3A30">
        <w:rPr>
          <w:i w:val="0"/>
          <w:sz w:val="22"/>
          <w:szCs w:val="22"/>
          <w:u w:val="single"/>
        </w:rPr>
        <w:t xml:space="preserve">Disclosure of Criminal Background </w:t>
      </w:r>
    </w:p>
    <w:p w14:paraId="0894186D" w14:textId="77777777" w:rsidR="00BC74B7" w:rsidRPr="002E1937" w:rsidRDefault="00BC74B7" w:rsidP="00BC74B7">
      <w:pPr>
        <w:rPr>
          <w:sz w:val="16"/>
          <w:szCs w:val="16"/>
        </w:rPr>
      </w:pPr>
    </w:p>
    <w:p w14:paraId="3479B72F" w14:textId="77777777" w:rsidR="00494A78" w:rsidRPr="008D3A30" w:rsidRDefault="00494A78" w:rsidP="00BC74B7">
      <w:pPr>
        <w:pStyle w:val="BodyText"/>
      </w:pPr>
      <w:r w:rsidRPr="008D3A30">
        <w:t xml:space="preserve">This position is exempt from the Rehabilitation of Offenders Act 1974.  This means that you must declare all criminal convictions, including those that you would otherwise be considered “spent”.   </w:t>
      </w:r>
    </w:p>
    <w:p w14:paraId="3C7558A5" w14:textId="77777777" w:rsidR="00494A78" w:rsidRPr="008028AB" w:rsidRDefault="00494A78" w:rsidP="00BC74B7">
      <w:pPr>
        <w:pStyle w:val="BodyText"/>
        <w:rPr>
          <w:sz w:val="12"/>
          <w:szCs w:val="12"/>
        </w:rPr>
      </w:pPr>
    </w:p>
    <w:p w14:paraId="7CD69239" w14:textId="77777777" w:rsidR="00494A78" w:rsidRPr="008D3A30" w:rsidRDefault="00494A78" w:rsidP="00BC74B7">
      <w:pPr>
        <w:pStyle w:val="BodyText"/>
      </w:pPr>
      <w:r w:rsidRPr="008D3A30">
        <w:t>Where the appointment involves substantial access to children and /or vulnerable adults, the appointment is subject to a police check.  The Criminal Records Bureau will be asked to verify that you have no convictions and cautions or pending prosecutions, convictions, cautions and bind-over orders.  This will include local police force records in addition to checks with the Police National Computer and the government departments lists held by the Department of Health for Education and Employment, where appropriate.</w:t>
      </w:r>
    </w:p>
    <w:p w14:paraId="4EB47E35" w14:textId="77777777" w:rsidR="00494A78" w:rsidRPr="008028AB" w:rsidRDefault="00494A78" w:rsidP="00BC74B7">
      <w:pPr>
        <w:pStyle w:val="BodyText"/>
        <w:rPr>
          <w:sz w:val="12"/>
          <w:szCs w:val="12"/>
        </w:rPr>
      </w:pPr>
    </w:p>
    <w:p w14:paraId="7D5A8780" w14:textId="77777777" w:rsidR="00494A78" w:rsidRDefault="00494A78" w:rsidP="00BC74B7">
      <w:pPr>
        <w:pStyle w:val="BodyText"/>
      </w:pPr>
      <w:r w:rsidRPr="008D3A30">
        <w:t>Police checks will only be requested for candidates recommended for appointment and will be carried out by the employing Trust.</w:t>
      </w:r>
    </w:p>
    <w:p w14:paraId="150D27F2" w14:textId="77777777" w:rsidR="00C561F2" w:rsidRPr="008028AB" w:rsidRDefault="00C561F2" w:rsidP="00BC74B7">
      <w:pPr>
        <w:pStyle w:val="BodyText"/>
        <w:rPr>
          <w:sz w:val="12"/>
          <w:szCs w:val="12"/>
        </w:rPr>
      </w:pPr>
    </w:p>
    <w:p w14:paraId="34C23EDD" w14:textId="77777777" w:rsidR="008D3A30" w:rsidRDefault="008D3A30" w:rsidP="008D3A30">
      <w:pPr>
        <w:pStyle w:val="Heading5"/>
        <w:shd w:val="clear" w:color="auto" w:fill="FFFFFF"/>
        <w:spacing w:before="0" w:after="0"/>
        <w:jc w:val="both"/>
        <w:rPr>
          <w:i w:val="0"/>
          <w:sz w:val="22"/>
          <w:szCs w:val="22"/>
          <w:u w:val="single"/>
        </w:rPr>
      </w:pPr>
      <w:r w:rsidRPr="008D3A30">
        <w:rPr>
          <w:i w:val="0"/>
          <w:sz w:val="22"/>
          <w:szCs w:val="22"/>
          <w:u w:val="single"/>
        </w:rPr>
        <w:t>Medical Clearance</w:t>
      </w:r>
    </w:p>
    <w:p w14:paraId="1AF276DC" w14:textId="77777777" w:rsidR="00BC74B7" w:rsidRPr="002E1937" w:rsidRDefault="00BC74B7" w:rsidP="00BC74B7">
      <w:pPr>
        <w:rPr>
          <w:sz w:val="16"/>
          <w:szCs w:val="16"/>
        </w:rPr>
      </w:pPr>
    </w:p>
    <w:p w14:paraId="62C68FD7" w14:textId="77777777" w:rsidR="008D3A30" w:rsidRPr="00BC74B7" w:rsidRDefault="008D3A30" w:rsidP="00BC74B7">
      <w:pPr>
        <w:pStyle w:val="BodyText"/>
        <w:rPr>
          <w:bCs w:val="0"/>
          <w:lang w:val="en-US"/>
        </w:rPr>
      </w:pPr>
      <w:r w:rsidRPr="00BC74B7">
        <w:rPr>
          <w:bCs w:val="0"/>
          <w:lang w:val="en-US"/>
        </w:rPr>
        <w:t xml:space="preserve">Offers of employment to the rotation will be subject to satisfactory medical clearance including Hepatitis B status.  </w:t>
      </w:r>
    </w:p>
    <w:p w14:paraId="7689149A" w14:textId="77777777" w:rsidR="008028AB" w:rsidRPr="008028AB" w:rsidRDefault="008028AB" w:rsidP="00BC74B7">
      <w:pPr>
        <w:pStyle w:val="BodyText"/>
        <w:rPr>
          <w:bCs w:val="0"/>
          <w:sz w:val="12"/>
          <w:szCs w:val="12"/>
          <w:lang w:val="en-US"/>
        </w:rPr>
      </w:pPr>
    </w:p>
    <w:p w14:paraId="03E84E90" w14:textId="77777777" w:rsidR="008D3A30" w:rsidRDefault="008D3A30" w:rsidP="00BC74B7">
      <w:pPr>
        <w:pStyle w:val="BodyText"/>
        <w:rPr>
          <w:bCs w:val="0"/>
          <w:lang w:val="en-US"/>
        </w:rPr>
      </w:pPr>
      <w:r w:rsidRPr="00BC74B7">
        <w:rPr>
          <w:bCs w:val="0"/>
          <w:lang w:val="en-US"/>
        </w:rPr>
        <w:t>Medical checks will only be requested for candidates recommended for appointment and will be carried out by the employing Trust.</w:t>
      </w:r>
    </w:p>
    <w:p w14:paraId="021A8C1C" w14:textId="77777777" w:rsidR="008028AB" w:rsidRPr="008028AB" w:rsidRDefault="008028AB" w:rsidP="00BC74B7">
      <w:pPr>
        <w:pStyle w:val="BodyText"/>
        <w:rPr>
          <w:bCs w:val="0"/>
          <w:sz w:val="12"/>
          <w:szCs w:val="12"/>
          <w:lang w:val="en-US"/>
        </w:rPr>
      </w:pPr>
    </w:p>
    <w:p w14:paraId="4F7DBE93" w14:textId="77777777" w:rsidR="008D3A30" w:rsidRDefault="008D3A30" w:rsidP="008D3A30">
      <w:pPr>
        <w:pStyle w:val="Heading5"/>
        <w:shd w:val="clear" w:color="auto" w:fill="FFFFFF"/>
        <w:spacing w:before="0" w:after="0"/>
        <w:jc w:val="both"/>
        <w:rPr>
          <w:i w:val="0"/>
          <w:sz w:val="22"/>
          <w:szCs w:val="22"/>
          <w:u w:val="single"/>
        </w:rPr>
      </w:pPr>
      <w:r w:rsidRPr="008D3A30">
        <w:rPr>
          <w:i w:val="0"/>
          <w:sz w:val="22"/>
          <w:szCs w:val="22"/>
          <w:u w:val="single"/>
        </w:rPr>
        <w:t>R</w:t>
      </w:r>
      <w:r>
        <w:rPr>
          <w:i w:val="0"/>
          <w:sz w:val="22"/>
          <w:szCs w:val="22"/>
          <w:u w:val="single"/>
        </w:rPr>
        <w:t>ehabilitation of offenders</w:t>
      </w:r>
    </w:p>
    <w:p w14:paraId="2604F448" w14:textId="77777777" w:rsidR="00BC74B7" w:rsidRPr="002E1937" w:rsidRDefault="00BC74B7" w:rsidP="00BC74B7">
      <w:pPr>
        <w:rPr>
          <w:sz w:val="16"/>
          <w:szCs w:val="16"/>
        </w:rPr>
      </w:pPr>
    </w:p>
    <w:p w14:paraId="271C47B3" w14:textId="77777777" w:rsidR="008D3A30" w:rsidRPr="00BC74B7" w:rsidRDefault="008D3A30" w:rsidP="008D3A30">
      <w:pPr>
        <w:pStyle w:val="BodyText"/>
        <w:rPr>
          <w:bCs w:val="0"/>
          <w:lang w:val="en-US"/>
        </w:rPr>
      </w:pPr>
      <w:r w:rsidRPr="00BC74B7">
        <w:rPr>
          <w:bCs w:val="0"/>
          <w:lang w:val="en-US"/>
        </w:rPr>
        <w:t>This post is not protected by the Rehabilitation of Offenders Act 1974.  You must disclose all information about all convictions (if any) in a court of law, no matter when they occurred.  This information will be treated in the strictest of confidence.</w:t>
      </w:r>
    </w:p>
    <w:p w14:paraId="02F753D4" w14:textId="77777777" w:rsidR="002F055C" w:rsidRDefault="002F055C" w:rsidP="008D3A30">
      <w:pPr>
        <w:pStyle w:val="Heading1"/>
        <w:jc w:val="left"/>
      </w:pPr>
    </w:p>
    <w:p w14:paraId="6557AF86" w14:textId="77777777" w:rsidR="008D3A30" w:rsidRDefault="008D3A30" w:rsidP="008D3A30">
      <w:pPr>
        <w:pStyle w:val="Heading1"/>
        <w:jc w:val="left"/>
      </w:pPr>
      <w:r>
        <w:t>Access to children</w:t>
      </w:r>
    </w:p>
    <w:p w14:paraId="6FF59AC5" w14:textId="77777777" w:rsidR="00BC74B7" w:rsidRPr="002E1937" w:rsidRDefault="00BC74B7" w:rsidP="00BC74B7">
      <w:pPr>
        <w:rPr>
          <w:sz w:val="16"/>
          <w:szCs w:val="16"/>
        </w:rPr>
      </w:pPr>
    </w:p>
    <w:p w14:paraId="3C3F6869" w14:textId="77777777" w:rsidR="008D3A30" w:rsidRDefault="008D3A30" w:rsidP="008D3A30">
      <w:pPr>
        <w:pStyle w:val="BodyText"/>
      </w:pPr>
      <w:r>
        <w:t>The person appointed to this post may have access to children, under the provisions of Joint Circular No. HS (88) 9 HOC8/88 WHC (88)10.  Applicants are therefore advised that in the event that your appointment is recommended you will be asked to complete a form disclosing any convictions, bind-over orders or cautions and to give permission in writing for a policy check to be carried out.  Refusal to do so could prevent further consideration of the application.  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be taken into account in deciding whether to engage an applicant.</w:t>
      </w:r>
    </w:p>
    <w:p w14:paraId="67954CE6" w14:textId="77777777" w:rsidR="008D3A30" w:rsidRDefault="008D3A30" w:rsidP="008D3A30">
      <w:pPr>
        <w:pStyle w:val="Heading1"/>
      </w:pPr>
    </w:p>
    <w:p w14:paraId="65B3FBB4" w14:textId="77777777" w:rsidR="008D3A30" w:rsidRDefault="008D3A30" w:rsidP="008D3A30">
      <w:pPr>
        <w:pStyle w:val="Heading1"/>
        <w:jc w:val="left"/>
      </w:pPr>
      <w:r>
        <w:t>Data protection act 1998</w:t>
      </w:r>
    </w:p>
    <w:p w14:paraId="44CC14A9" w14:textId="77777777" w:rsidR="00BC74B7" w:rsidRPr="002E1937" w:rsidRDefault="00BC74B7" w:rsidP="00BC74B7">
      <w:pPr>
        <w:rPr>
          <w:sz w:val="16"/>
          <w:szCs w:val="16"/>
        </w:rPr>
      </w:pPr>
    </w:p>
    <w:p w14:paraId="6441834A" w14:textId="77777777" w:rsidR="008D3A30" w:rsidRDefault="008D3A30" w:rsidP="008D3A30">
      <w:pPr>
        <w:pStyle w:val="BodyText"/>
      </w:pPr>
      <w:r>
        <w:t>Candidates are informed that the information given by them in application for the post will be used only for the recruitment and selection purposes.  For successful candidates this will then form part of their personal file, and for unsuccessful candidates the information will be destroyed.  The information is stored both in hard copy and minimally on a database.  This information is held and administered in line with the Data Protection Act and the Trust’s confidentiality procedure.</w:t>
      </w:r>
    </w:p>
    <w:p w14:paraId="40569D4D" w14:textId="77777777" w:rsidR="008D3A30" w:rsidRDefault="008D3A30" w:rsidP="008D3A30">
      <w:pPr>
        <w:pStyle w:val="Heading1"/>
      </w:pPr>
    </w:p>
    <w:p w14:paraId="55DD70A2" w14:textId="77777777" w:rsidR="008D3A30" w:rsidRDefault="008D3A30" w:rsidP="008D3A30">
      <w:pPr>
        <w:pStyle w:val="Heading1"/>
        <w:jc w:val="left"/>
      </w:pPr>
      <w:r>
        <w:t>Further information</w:t>
      </w:r>
    </w:p>
    <w:p w14:paraId="2B36D2A4" w14:textId="77777777" w:rsidR="008D3A30" w:rsidRPr="002E1937" w:rsidRDefault="008D3A30" w:rsidP="008D3A30">
      <w:pPr>
        <w:jc w:val="both"/>
        <w:rPr>
          <w:sz w:val="16"/>
          <w:szCs w:val="16"/>
        </w:rPr>
      </w:pPr>
    </w:p>
    <w:p w14:paraId="713BA49C" w14:textId="77777777" w:rsidR="008D3A30" w:rsidRDefault="008D3A30" w:rsidP="008D3A30">
      <w:pPr>
        <w:jc w:val="both"/>
      </w:pPr>
      <w:r>
        <w:t>The Tr</w:t>
      </w:r>
      <w:r w:rsidR="00DB1B71">
        <w:t>ust welcomes informal enquiries</w:t>
      </w:r>
      <w:r>
        <w:t>:</w:t>
      </w:r>
    </w:p>
    <w:p w14:paraId="1826D602" w14:textId="77777777" w:rsidR="008D3A30" w:rsidRDefault="008D3A30" w:rsidP="008D3A30"/>
    <w:p w14:paraId="24ECBC68" w14:textId="77777777" w:rsidR="003B2617" w:rsidRDefault="003B2617" w:rsidP="003B2617">
      <w:r>
        <w:t>Dr Sheena Hubble</w:t>
      </w:r>
    </w:p>
    <w:p w14:paraId="2904A5AB" w14:textId="77777777" w:rsidR="003B2617" w:rsidRDefault="003B2617" w:rsidP="003B2617">
      <w:r>
        <w:t>Perioperative Consultant</w:t>
      </w:r>
    </w:p>
    <w:p w14:paraId="32545A54" w14:textId="77777777" w:rsidR="003B2617" w:rsidRDefault="003B2617" w:rsidP="003B2617">
      <w:r>
        <w:t>Tel: 01392 411611</w:t>
      </w:r>
    </w:p>
    <w:p w14:paraId="691A0DBF" w14:textId="77777777" w:rsidR="003B2617" w:rsidRDefault="003B2617" w:rsidP="003B2617">
      <w:r>
        <w:t xml:space="preserve">Email: </w:t>
      </w:r>
      <w:hyperlink r:id="rId8" w:history="1">
        <w:r w:rsidRPr="007E4788">
          <w:rPr>
            <w:rStyle w:val="Hyperlink"/>
          </w:rPr>
          <w:t>sheena.hubble@nhs.net</w:t>
        </w:r>
      </w:hyperlink>
    </w:p>
    <w:p w14:paraId="278E524C" w14:textId="77777777" w:rsidR="003B2617" w:rsidRDefault="003B2617" w:rsidP="003B2617"/>
    <w:p w14:paraId="19F7F565" w14:textId="77777777" w:rsidR="00FC3ABE" w:rsidRDefault="00FC3ABE" w:rsidP="008D3A30">
      <w:r>
        <w:t>Dr Kat Haynes</w:t>
      </w:r>
    </w:p>
    <w:p w14:paraId="588DD79E" w14:textId="77777777" w:rsidR="00FC3ABE" w:rsidRDefault="00FC3ABE" w:rsidP="008D3A30">
      <w:r>
        <w:t>Perioperative Consultant (Anaesthetics)</w:t>
      </w:r>
    </w:p>
    <w:p w14:paraId="54959D84" w14:textId="77777777" w:rsidR="00FC3ABE" w:rsidRDefault="00FC3ABE" w:rsidP="008D3A30">
      <w:r>
        <w:t xml:space="preserve">Email: </w:t>
      </w:r>
      <w:hyperlink r:id="rId9" w:history="1">
        <w:r w:rsidRPr="005E33AC">
          <w:rPr>
            <w:rStyle w:val="Hyperlink"/>
          </w:rPr>
          <w:t>kat.haynes@nhs.net</w:t>
        </w:r>
      </w:hyperlink>
      <w:r>
        <w:t xml:space="preserve"> </w:t>
      </w:r>
    </w:p>
    <w:p w14:paraId="0AC8B7FC" w14:textId="77777777" w:rsidR="00FC3ABE" w:rsidRDefault="00FC3ABE" w:rsidP="008D3A30"/>
    <w:p w14:paraId="5146E8A8" w14:textId="77777777" w:rsidR="00FC3ABE" w:rsidRDefault="00FC3ABE" w:rsidP="008D3A30">
      <w:r>
        <w:t>Dr Rebecca Matthews</w:t>
      </w:r>
    </w:p>
    <w:p w14:paraId="28585205" w14:textId="77777777" w:rsidR="00FC3ABE" w:rsidRDefault="00FC3ABE" w:rsidP="008D3A30">
      <w:r>
        <w:t>Perioperative Consultant (Medicine)</w:t>
      </w:r>
    </w:p>
    <w:p w14:paraId="5F4F4D40" w14:textId="77777777" w:rsidR="00FC3ABE" w:rsidRDefault="00FC3ABE" w:rsidP="008D3A30">
      <w:r>
        <w:t xml:space="preserve">Email: </w:t>
      </w:r>
      <w:hyperlink r:id="rId10" w:history="1">
        <w:r w:rsidRPr="005E33AC">
          <w:rPr>
            <w:rStyle w:val="Hyperlink"/>
          </w:rPr>
          <w:t>rmatthews1@nhs.net</w:t>
        </w:r>
      </w:hyperlink>
    </w:p>
    <w:p w14:paraId="00537C60" w14:textId="77777777" w:rsidR="00FC3ABE" w:rsidRDefault="00FC3ABE" w:rsidP="008D3A30"/>
    <w:p w14:paraId="1DD72679" w14:textId="77777777" w:rsidR="003B2617" w:rsidRDefault="003B2617"/>
    <w:sectPr w:rsidR="003B2617" w:rsidSect="001836EE">
      <w:footerReference w:type="even" r:id="rId11"/>
      <w:footerReference w:type="default" r:id="rId12"/>
      <w:pgSz w:w="11906" w:h="16838"/>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88E63" w14:textId="77777777" w:rsidR="00651BDA" w:rsidRDefault="00651BDA">
      <w:r>
        <w:separator/>
      </w:r>
    </w:p>
  </w:endnote>
  <w:endnote w:type="continuationSeparator" w:id="0">
    <w:p w14:paraId="4435E09A" w14:textId="77777777" w:rsidR="00651BDA" w:rsidRDefault="0065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3FE1" w14:textId="77777777" w:rsidR="00930E26" w:rsidRDefault="00930E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40825D" w14:textId="77777777" w:rsidR="00930E26" w:rsidRDefault="0093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74F6" w14:textId="77777777" w:rsidR="00930E26" w:rsidRDefault="00930E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1F2">
      <w:rPr>
        <w:rStyle w:val="PageNumber"/>
        <w:noProof/>
      </w:rPr>
      <w:t>1</w:t>
    </w:r>
    <w:r>
      <w:rPr>
        <w:rStyle w:val="PageNumber"/>
      </w:rPr>
      <w:fldChar w:fldCharType="end"/>
    </w:r>
  </w:p>
  <w:p w14:paraId="6158C7CC" w14:textId="77777777" w:rsidR="00930E26" w:rsidRDefault="00930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81F22" w14:textId="77777777" w:rsidR="00651BDA" w:rsidRDefault="00651BDA">
      <w:r>
        <w:separator/>
      </w:r>
    </w:p>
  </w:footnote>
  <w:footnote w:type="continuationSeparator" w:id="0">
    <w:p w14:paraId="0BA6FFBE" w14:textId="77777777" w:rsidR="00651BDA" w:rsidRDefault="00651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E24"/>
    <w:multiLevelType w:val="hybridMultilevel"/>
    <w:tmpl w:val="8EEA2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1400E"/>
    <w:multiLevelType w:val="hybridMultilevel"/>
    <w:tmpl w:val="4E04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E7F7B"/>
    <w:multiLevelType w:val="hybridMultilevel"/>
    <w:tmpl w:val="801E8126"/>
    <w:lvl w:ilvl="0" w:tplc="FFFFFFFF">
      <w:start w:val="1"/>
      <w:numFmt w:val="decimal"/>
      <w:lvlText w:val="%1."/>
      <w:lvlJc w:val="left"/>
      <w:pPr>
        <w:tabs>
          <w:tab w:val="num" w:pos="1080"/>
        </w:tabs>
        <w:ind w:left="1080" w:hanging="79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FBF38C7"/>
    <w:multiLevelType w:val="hybridMultilevel"/>
    <w:tmpl w:val="296A3B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66C69DD"/>
    <w:multiLevelType w:val="hybridMultilevel"/>
    <w:tmpl w:val="668434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8A115C7"/>
    <w:multiLevelType w:val="singleLevel"/>
    <w:tmpl w:val="2AE4C10A"/>
    <w:lvl w:ilvl="0">
      <w:start w:val="8946"/>
      <w:numFmt w:val="decimal"/>
      <w:lvlText w:val="%1"/>
      <w:lvlJc w:val="left"/>
      <w:pPr>
        <w:tabs>
          <w:tab w:val="num" w:pos="780"/>
        </w:tabs>
        <w:ind w:left="780" w:hanging="600"/>
      </w:pPr>
      <w:rPr>
        <w:rFonts w:hint="default"/>
      </w:rPr>
    </w:lvl>
  </w:abstractNum>
  <w:abstractNum w:abstractNumId="6" w15:restartNumberingAfterBreak="0">
    <w:nsid w:val="4C9B4A25"/>
    <w:multiLevelType w:val="hybridMultilevel"/>
    <w:tmpl w:val="BD9A2C78"/>
    <w:lvl w:ilvl="0" w:tplc="5F74759A">
      <w:start w:val="1"/>
      <w:numFmt w:val="bullet"/>
      <w:lvlText w:val=""/>
      <w:lvlJc w:val="left"/>
      <w:pPr>
        <w:ind w:left="360" w:hanging="360"/>
      </w:pPr>
      <w:rPr>
        <w:rFonts w:ascii="Symbol" w:hAnsi="Symbol" w:hint="default"/>
      </w:rPr>
    </w:lvl>
    <w:lvl w:ilvl="1" w:tplc="1EBEB15E">
      <w:start w:val="1"/>
      <w:numFmt w:val="bullet"/>
      <w:lvlText w:val="o"/>
      <w:lvlJc w:val="left"/>
      <w:pPr>
        <w:ind w:left="1080" w:hanging="360"/>
      </w:pPr>
      <w:rPr>
        <w:rFonts w:ascii="Courier New" w:hAnsi="Courier New" w:hint="default"/>
      </w:rPr>
    </w:lvl>
    <w:lvl w:ilvl="2" w:tplc="0D72400A">
      <w:start w:val="1"/>
      <w:numFmt w:val="bullet"/>
      <w:lvlText w:val=""/>
      <w:lvlJc w:val="left"/>
      <w:pPr>
        <w:ind w:left="1800" w:hanging="360"/>
      </w:pPr>
      <w:rPr>
        <w:rFonts w:ascii="Wingdings" w:hAnsi="Wingdings" w:hint="default"/>
      </w:rPr>
    </w:lvl>
    <w:lvl w:ilvl="3" w:tplc="15FE0FF2">
      <w:start w:val="1"/>
      <w:numFmt w:val="bullet"/>
      <w:lvlText w:val=""/>
      <w:lvlJc w:val="left"/>
      <w:pPr>
        <w:ind w:left="2520" w:hanging="360"/>
      </w:pPr>
      <w:rPr>
        <w:rFonts w:ascii="Symbol" w:hAnsi="Symbol" w:hint="default"/>
      </w:rPr>
    </w:lvl>
    <w:lvl w:ilvl="4" w:tplc="21FC4950">
      <w:start w:val="1"/>
      <w:numFmt w:val="bullet"/>
      <w:lvlText w:val="o"/>
      <w:lvlJc w:val="left"/>
      <w:pPr>
        <w:ind w:left="3240" w:hanging="360"/>
      </w:pPr>
      <w:rPr>
        <w:rFonts w:ascii="Courier New" w:hAnsi="Courier New" w:hint="default"/>
      </w:rPr>
    </w:lvl>
    <w:lvl w:ilvl="5" w:tplc="FBAA6BDA">
      <w:start w:val="1"/>
      <w:numFmt w:val="bullet"/>
      <w:lvlText w:val=""/>
      <w:lvlJc w:val="left"/>
      <w:pPr>
        <w:ind w:left="3960" w:hanging="360"/>
      </w:pPr>
      <w:rPr>
        <w:rFonts w:ascii="Wingdings" w:hAnsi="Wingdings" w:hint="default"/>
      </w:rPr>
    </w:lvl>
    <w:lvl w:ilvl="6" w:tplc="0A744652">
      <w:start w:val="1"/>
      <w:numFmt w:val="bullet"/>
      <w:lvlText w:val=""/>
      <w:lvlJc w:val="left"/>
      <w:pPr>
        <w:ind w:left="4680" w:hanging="360"/>
      </w:pPr>
      <w:rPr>
        <w:rFonts w:ascii="Symbol" w:hAnsi="Symbol" w:hint="default"/>
      </w:rPr>
    </w:lvl>
    <w:lvl w:ilvl="7" w:tplc="36469C00">
      <w:start w:val="1"/>
      <w:numFmt w:val="bullet"/>
      <w:lvlText w:val="o"/>
      <w:lvlJc w:val="left"/>
      <w:pPr>
        <w:ind w:left="5400" w:hanging="360"/>
      </w:pPr>
      <w:rPr>
        <w:rFonts w:ascii="Courier New" w:hAnsi="Courier New" w:hint="default"/>
      </w:rPr>
    </w:lvl>
    <w:lvl w:ilvl="8" w:tplc="35CC3C6E">
      <w:start w:val="1"/>
      <w:numFmt w:val="bullet"/>
      <w:lvlText w:val=""/>
      <w:lvlJc w:val="left"/>
      <w:pPr>
        <w:ind w:left="6120" w:hanging="360"/>
      </w:pPr>
      <w:rPr>
        <w:rFonts w:ascii="Wingdings" w:hAnsi="Wingdings" w:hint="default"/>
      </w:rPr>
    </w:lvl>
  </w:abstractNum>
  <w:abstractNum w:abstractNumId="7" w15:restartNumberingAfterBreak="0">
    <w:nsid w:val="520D7CF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5B5A63D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6043C763"/>
    <w:multiLevelType w:val="hybridMultilevel"/>
    <w:tmpl w:val="1078435E"/>
    <w:lvl w:ilvl="0" w:tplc="BE263DC6">
      <w:start w:val="1"/>
      <w:numFmt w:val="decimal"/>
      <w:lvlText w:val="%1."/>
      <w:lvlJc w:val="left"/>
      <w:pPr>
        <w:ind w:left="720" w:hanging="360"/>
      </w:pPr>
    </w:lvl>
    <w:lvl w:ilvl="1" w:tplc="383EEB78">
      <w:start w:val="1"/>
      <w:numFmt w:val="lowerLetter"/>
      <w:lvlText w:val="%2."/>
      <w:lvlJc w:val="left"/>
      <w:pPr>
        <w:ind w:left="1440" w:hanging="360"/>
      </w:pPr>
    </w:lvl>
    <w:lvl w:ilvl="2" w:tplc="DBCCA97E">
      <w:start w:val="1"/>
      <w:numFmt w:val="lowerRoman"/>
      <w:lvlText w:val="%3."/>
      <w:lvlJc w:val="right"/>
      <w:pPr>
        <w:ind w:left="2160" w:hanging="180"/>
      </w:pPr>
    </w:lvl>
    <w:lvl w:ilvl="3" w:tplc="FAFAF92E">
      <w:start w:val="1"/>
      <w:numFmt w:val="decimal"/>
      <w:lvlText w:val="%4."/>
      <w:lvlJc w:val="left"/>
      <w:pPr>
        <w:ind w:left="2880" w:hanging="360"/>
      </w:pPr>
    </w:lvl>
    <w:lvl w:ilvl="4" w:tplc="E20EF252">
      <w:start w:val="1"/>
      <w:numFmt w:val="lowerLetter"/>
      <w:lvlText w:val="%5."/>
      <w:lvlJc w:val="left"/>
      <w:pPr>
        <w:ind w:left="3600" w:hanging="360"/>
      </w:pPr>
    </w:lvl>
    <w:lvl w:ilvl="5" w:tplc="B4BAC8FA">
      <w:start w:val="1"/>
      <w:numFmt w:val="lowerRoman"/>
      <w:lvlText w:val="%6."/>
      <w:lvlJc w:val="right"/>
      <w:pPr>
        <w:ind w:left="4320" w:hanging="180"/>
      </w:pPr>
    </w:lvl>
    <w:lvl w:ilvl="6" w:tplc="C98695B2">
      <w:start w:val="1"/>
      <w:numFmt w:val="decimal"/>
      <w:lvlText w:val="%7."/>
      <w:lvlJc w:val="left"/>
      <w:pPr>
        <w:ind w:left="5040" w:hanging="360"/>
      </w:pPr>
    </w:lvl>
    <w:lvl w:ilvl="7" w:tplc="3850C498">
      <w:start w:val="1"/>
      <w:numFmt w:val="lowerLetter"/>
      <w:lvlText w:val="%8."/>
      <w:lvlJc w:val="left"/>
      <w:pPr>
        <w:ind w:left="5760" w:hanging="360"/>
      </w:pPr>
    </w:lvl>
    <w:lvl w:ilvl="8" w:tplc="89A61B68">
      <w:start w:val="1"/>
      <w:numFmt w:val="lowerRoman"/>
      <w:lvlText w:val="%9."/>
      <w:lvlJc w:val="right"/>
      <w:pPr>
        <w:ind w:left="6480" w:hanging="180"/>
      </w:pPr>
    </w:lvl>
  </w:abstractNum>
  <w:num w:numId="1">
    <w:abstractNumId w:val="7"/>
  </w:num>
  <w:num w:numId="2">
    <w:abstractNumId w:val="8"/>
  </w:num>
  <w:num w:numId="3">
    <w:abstractNumId w:val="2"/>
  </w:num>
  <w:num w:numId="4">
    <w:abstractNumId w:val="4"/>
  </w:num>
  <w:num w:numId="5">
    <w:abstractNumId w:val="3"/>
  </w:num>
  <w:num w:numId="6">
    <w:abstractNumId w:val="5"/>
  </w:num>
  <w:num w:numId="7">
    <w:abstractNumId w:val="0"/>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F3"/>
    <w:rsid w:val="00002E81"/>
    <w:rsid w:val="00006242"/>
    <w:rsid w:val="00032DA0"/>
    <w:rsid w:val="00037F0B"/>
    <w:rsid w:val="00040094"/>
    <w:rsid w:val="00040FF4"/>
    <w:rsid w:val="000861D4"/>
    <w:rsid w:val="000A463B"/>
    <w:rsid w:val="000A682E"/>
    <w:rsid w:val="000C36FF"/>
    <w:rsid w:val="000C4998"/>
    <w:rsid w:val="000C7EC6"/>
    <w:rsid w:val="000D12EA"/>
    <w:rsid w:val="000D6B5A"/>
    <w:rsid w:val="000E0112"/>
    <w:rsid w:val="000E11F6"/>
    <w:rsid w:val="000E3E3C"/>
    <w:rsid w:val="000E61FF"/>
    <w:rsid w:val="000F082A"/>
    <w:rsid w:val="0010666E"/>
    <w:rsid w:val="00113806"/>
    <w:rsid w:val="00120271"/>
    <w:rsid w:val="0013057F"/>
    <w:rsid w:val="00147D7B"/>
    <w:rsid w:val="001512F4"/>
    <w:rsid w:val="00166010"/>
    <w:rsid w:val="0017322A"/>
    <w:rsid w:val="001748C7"/>
    <w:rsid w:val="00176F32"/>
    <w:rsid w:val="001836EE"/>
    <w:rsid w:val="00196E41"/>
    <w:rsid w:val="001B71B6"/>
    <w:rsid w:val="001D0334"/>
    <w:rsid w:val="001D47F0"/>
    <w:rsid w:val="001E3795"/>
    <w:rsid w:val="001E75EC"/>
    <w:rsid w:val="001F7BB1"/>
    <w:rsid w:val="002121EA"/>
    <w:rsid w:val="00241D19"/>
    <w:rsid w:val="002630AA"/>
    <w:rsid w:val="00265F8D"/>
    <w:rsid w:val="00275DC0"/>
    <w:rsid w:val="002B0A7F"/>
    <w:rsid w:val="002C38CD"/>
    <w:rsid w:val="002E1937"/>
    <w:rsid w:val="002E3229"/>
    <w:rsid w:val="002E640F"/>
    <w:rsid w:val="002F055C"/>
    <w:rsid w:val="002F4670"/>
    <w:rsid w:val="00331066"/>
    <w:rsid w:val="00354212"/>
    <w:rsid w:val="0036722E"/>
    <w:rsid w:val="00384610"/>
    <w:rsid w:val="003A4329"/>
    <w:rsid w:val="003B2617"/>
    <w:rsid w:val="003B53A8"/>
    <w:rsid w:val="003D0A33"/>
    <w:rsid w:val="003E55D4"/>
    <w:rsid w:val="003E7245"/>
    <w:rsid w:val="003F020F"/>
    <w:rsid w:val="003F0C7E"/>
    <w:rsid w:val="0040091D"/>
    <w:rsid w:val="00425E16"/>
    <w:rsid w:val="00456857"/>
    <w:rsid w:val="00481ACB"/>
    <w:rsid w:val="0048318A"/>
    <w:rsid w:val="00484D07"/>
    <w:rsid w:val="00494A78"/>
    <w:rsid w:val="004A2241"/>
    <w:rsid w:val="004A248C"/>
    <w:rsid w:val="004A5FA9"/>
    <w:rsid w:val="004C2F0C"/>
    <w:rsid w:val="0050301D"/>
    <w:rsid w:val="00512842"/>
    <w:rsid w:val="00526940"/>
    <w:rsid w:val="0053148E"/>
    <w:rsid w:val="00547AE4"/>
    <w:rsid w:val="005518BC"/>
    <w:rsid w:val="005930BF"/>
    <w:rsid w:val="005A7896"/>
    <w:rsid w:val="005F614E"/>
    <w:rsid w:val="00607DBB"/>
    <w:rsid w:val="00651BDA"/>
    <w:rsid w:val="00682A35"/>
    <w:rsid w:val="006862EF"/>
    <w:rsid w:val="006A20BE"/>
    <w:rsid w:val="006B1F20"/>
    <w:rsid w:val="006C3AE9"/>
    <w:rsid w:val="006E18B2"/>
    <w:rsid w:val="006F6AF9"/>
    <w:rsid w:val="00700DDD"/>
    <w:rsid w:val="007075BD"/>
    <w:rsid w:val="0071733D"/>
    <w:rsid w:val="0071767C"/>
    <w:rsid w:val="00751369"/>
    <w:rsid w:val="007606F3"/>
    <w:rsid w:val="007643E8"/>
    <w:rsid w:val="00776B96"/>
    <w:rsid w:val="00777CF3"/>
    <w:rsid w:val="00796627"/>
    <w:rsid w:val="007A5C78"/>
    <w:rsid w:val="007B20A8"/>
    <w:rsid w:val="007C0154"/>
    <w:rsid w:val="008028AB"/>
    <w:rsid w:val="00821A57"/>
    <w:rsid w:val="0082403F"/>
    <w:rsid w:val="00834B93"/>
    <w:rsid w:val="0083511F"/>
    <w:rsid w:val="008B73FF"/>
    <w:rsid w:val="008C6BA7"/>
    <w:rsid w:val="008D1835"/>
    <w:rsid w:val="008D3A30"/>
    <w:rsid w:val="008D673E"/>
    <w:rsid w:val="008F5B3E"/>
    <w:rsid w:val="0091065A"/>
    <w:rsid w:val="00913B11"/>
    <w:rsid w:val="009227A9"/>
    <w:rsid w:val="00922F20"/>
    <w:rsid w:val="0092755D"/>
    <w:rsid w:val="00930E26"/>
    <w:rsid w:val="00931A08"/>
    <w:rsid w:val="00935749"/>
    <w:rsid w:val="0094551A"/>
    <w:rsid w:val="0095470A"/>
    <w:rsid w:val="00956BC2"/>
    <w:rsid w:val="00966525"/>
    <w:rsid w:val="00973201"/>
    <w:rsid w:val="009C5D45"/>
    <w:rsid w:val="009F60FC"/>
    <w:rsid w:val="00A04182"/>
    <w:rsid w:val="00A05ED7"/>
    <w:rsid w:val="00A1313F"/>
    <w:rsid w:val="00A53E38"/>
    <w:rsid w:val="00A54432"/>
    <w:rsid w:val="00A6454D"/>
    <w:rsid w:val="00A71A4C"/>
    <w:rsid w:val="00AA4042"/>
    <w:rsid w:val="00B04A28"/>
    <w:rsid w:val="00B058FB"/>
    <w:rsid w:val="00B07D29"/>
    <w:rsid w:val="00B1086A"/>
    <w:rsid w:val="00B20240"/>
    <w:rsid w:val="00B22CF3"/>
    <w:rsid w:val="00B505F7"/>
    <w:rsid w:val="00B66741"/>
    <w:rsid w:val="00B813EA"/>
    <w:rsid w:val="00BC74B7"/>
    <w:rsid w:val="00BE4E12"/>
    <w:rsid w:val="00BE6641"/>
    <w:rsid w:val="00BE6D23"/>
    <w:rsid w:val="00C14926"/>
    <w:rsid w:val="00C215E9"/>
    <w:rsid w:val="00C2251D"/>
    <w:rsid w:val="00C47D29"/>
    <w:rsid w:val="00C561F2"/>
    <w:rsid w:val="00C75585"/>
    <w:rsid w:val="00D0651B"/>
    <w:rsid w:val="00D204AD"/>
    <w:rsid w:val="00D23544"/>
    <w:rsid w:val="00D30CBE"/>
    <w:rsid w:val="00D37598"/>
    <w:rsid w:val="00D42F64"/>
    <w:rsid w:val="00D45991"/>
    <w:rsid w:val="00D60C1C"/>
    <w:rsid w:val="00D64BEB"/>
    <w:rsid w:val="00D76D0B"/>
    <w:rsid w:val="00D9180C"/>
    <w:rsid w:val="00D928E0"/>
    <w:rsid w:val="00D9403D"/>
    <w:rsid w:val="00D96E82"/>
    <w:rsid w:val="00DB1B71"/>
    <w:rsid w:val="00DC48FC"/>
    <w:rsid w:val="00DD314A"/>
    <w:rsid w:val="00DF304B"/>
    <w:rsid w:val="00DF5344"/>
    <w:rsid w:val="00DF6B01"/>
    <w:rsid w:val="00E0272D"/>
    <w:rsid w:val="00E0688F"/>
    <w:rsid w:val="00E35406"/>
    <w:rsid w:val="00E42374"/>
    <w:rsid w:val="00E47907"/>
    <w:rsid w:val="00E572B7"/>
    <w:rsid w:val="00E67CA3"/>
    <w:rsid w:val="00E704EF"/>
    <w:rsid w:val="00E811C8"/>
    <w:rsid w:val="00E81DBD"/>
    <w:rsid w:val="00E93685"/>
    <w:rsid w:val="00EA35D9"/>
    <w:rsid w:val="00EA6890"/>
    <w:rsid w:val="00EB4349"/>
    <w:rsid w:val="00EB72FC"/>
    <w:rsid w:val="00EF355B"/>
    <w:rsid w:val="00F033D1"/>
    <w:rsid w:val="00F10907"/>
    <w:rsid w:val="00F521D0"/>
    <w:rsid w:val="00F54EDC"/>
    <w:rsid w:val="00F80DF4"/>
    <w:rsid w:val="00F9100E"/>
    <w:rsid w:val="00FA570E"/>
    <w:rsid w:val="00FA6D2D"/>
    <w:rsid w:val="00FC3ABE"/>
    <w:rsid w:val="00FF4A0C"/>
    <w:rsid w:val="00FF5066"/>
    <w:rsid w:val="00FF5318"/>
    <w:rsid w:val="00FF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7B366"/>
  <w15:docId w15:val="{2C43CD35-754B-470C-A01E-9D99CDA3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2"/>
      <w:lang w:val="en-US" w:eastAsia="en-US"/>
    </w:rPr>
  </w:style>
  <w:style w:type="paragraph" w:styleId="Heading1">
    <w:name w:val="heading 1"/>
    <w:basedOn w:val="Normal"/>
    <w:next w:val="Normal"/>
    <w:qFormat/>
    <w:pPr>
      <w:keepNext/>
      <w:jc w:val="center"/>
      <w:outlineLvl w:val="0"/>
    </w:pPr>
    <w:rPr>
      <w:b/>
      <w:bCs/>
      <w:u w:val="single"/>
    </w:rPr>
  </w:style>
  <w:style w:type="paragraph" w:styleId="Heading5">
    <w:name w:val="heading 5"/>
    <w:basedOn w:val="Normal"/>
    <w:next w:val="Normal"/>
    <w:qFormat/>
    <w:pPr>
      <w:spacing w:before="240" w:after="60"/>
      <w:outlineLvl w:val="4"/>
    </w:pPr>
    <w:rPr>
      <w:b/>
      <w:bCs/>
      <w:i/>
      <w:iCs/>
      <w:sz w:val="26"/>
      <w:szCs w:val="26"/>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szCs w:val="28"/>
      <w:u w:val="single"/>
      <w:lang w:val="en-GB"/>
    </w:rPr>
  </w:style>
  <w:style w:type="character" w:styleId="Hyperlink">
    <w:name w:val="Hyperlink"/>
    <w:rPr>
      <w:color w:val="0000FF"/>
      <w:u w:val="single"/>
    </w:rPr>
  </w:style>
  <w:style w:type="paragraph" w:styleId="BodyText">
    <w:name w:val="Body Text"/>
    <w:basedOn w:val="Normal"/>
    <w:pPr>
      <w:widowControl w:val="0"/>
      <w:adjustRightInd w:val="0"/>
      <w:spacing w:line="360" w:lineRule="atLeast"/>
      <w:jc w:val="both"/>
      <w:textAlignment w:val="baseline"/>
    </w:pPr>
    <w:rPr>
      <w:bCs/>
      <w:lang w:val="en-GB"/>
    </w:rPr>
  </w:style>
  <w:style w:type="paragraph" w:styleId="BodyText3">
    <w:name w:val="Body Text 3"/>
    <w:basedOn w:val="Normal"/>
    <w:pPr>
      <w:widowControl w:val="0"/>
      <w:adjustRightInd w:val="0"/>
      <w:spacing w:line="360" w:lineRule="atLeast"/>
      <w:jc w:val="both"/>
      <w:textAlignment w:val="baseline"/>
    </w:pPr>
    <w:rPr>
      <w:rFonts w:cs="Times New Roman"/>
      <w:b/>
      <w:szCs w:val="24"/>
      <w:lang w:val="en-GB"/>
    </w:rPr>
  </w:style>
  <w:style w:type="paragraph" w:styleId="BalloonText">
    <w:name w:val="Balloon Text"/>
    <w:basedOn w:val="Normal"/>
    <w:semiHidden/>
    <w:pPr>
      <w:widowControl w:val="0"/>
      <w:adjustRightInd w:val="0"/>
      <w:spacing w:line="360" w:lineRule="atLeast"/>
      <w:jc w:val="both"/>
      <w:textAlignment w:val="baseline"/>
    </w:pPr>
    <w:rPr>
      <w:rFonts w:ascii="Tahoma" w:hAnsi="Tahoma" w:cs="Tahoma"/>
      <w:sz w:val="16"/>
      <w:szCs w:val="16"/>
      <w:lang w:val="en-GB"/>
    </w:rPr>
  </w:style>
  <w:style w:type="paragraph" w:styleId="BodyText2">
    <w:name w:val="Body Text 2"/>
    <w:basedOn w:val="Normal"/>
    <w:pPr>
      <w:widowControl w:val="0"/>
      <w:adjustRightInd w:val="0"/>
      <w:spacing w:after="120" w:line="480" w:lineRule="auto"/>
      <w:jc w:val="both"/>
      <w:textAlignment w:val="baseline"/>
    </w:pPr>
    <w:rPr>
      <w:rFonts w:ascii="Times New Roman" w:hAnsi="Times New Roman" w:cs="Times New Roman"/>
      <w:sz w:val="24"/>
      <w:szCs w:val="24"/>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
    <w:name w:val="Default"/>
    <w:rsid w:val="00C561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C3ABE"/>
    <w:rPr>
      <w:color w:val="605E5C"/>
      <w:shd w:val="clear" w:color="auto" w:fill="E1DFDD"/>
    </w:rPr>
  </w:style>
  <w:style w:type="character" w:styleId="CommentReference">
    <w:name w:val="annotation reference"/>
    <w:basedOn w:val="DefaultParagraphFont"/>
    <w:semiHidden/>
    <w:unhideWhenUsed/>
    <w:rsid w:val="00B1086A"/>
    <w:rPr>
      <w:sz w:val="16"/>
      <w:szCs w:val="16"/>
    </w:rPr>
  </w:style>
  <w:style w:type="paragraph" w:styleId="CommentText">
    <w:name w:val="annotation text"/>
    <w:basedOn w:val="Normal"/>
    <w:link w:val="CommentTextChar"/>
    <w:semiHidden/>
    <w:unhideWhenUsed/>
    <w:rsid w:val="00B1086A"/>
    <w:rPr>
      <w:sz w:val="20"/>
      <w:szCs w:val="20"/>
    </w:rPr>
  </w:style>
  <w:style w:type="character" w:customStyle="1" w:styleId="CommentTextChar">
    <w:name w:val="Comment Text Char"/>
    <w:basedOn w:val="DefaultParagraphFont"/>
    <w:link w:val="CommentText"/>
    <w:semiHidden/>
    <w:rsid w:val="00B1086A"/>
    <w:rPr>
      <w:rFonts w:ascii="Arial" w:hAnsi="Arial" w:cs="Arial"/>
      <w:lang w:val="en-US" w:eastAsia="en-US"/>
    </w:rPr>
  </w:style>
  <w:style w:type="paragraph" w:styleId="CommentSubject">
    <w:name w:val="annotation subject"/>
    <w:basedOn w:val="CommentText"/>
    <w:next w:val="CommentText"/>
    <w:link w:val="CommentSubjectChar"/>
    <w:semiHidden/>
    <w:unhideWhenUsed/>
    <w:rsid w:val="00B1086A"/>
    <w:rPr>
      <w:b/>
      <w:bCs/>
    </w:rPr>
  </w:style>
  <w:style w:type="character" w:customStyle="1" w:styleId="CommentSubjectChar">
    <w:name w:val="Comment Subject Char"/>
    <w:basedOn w:val="CommentTextChar"/>
    <w:link w:val="CommentSubject"/>
    <w:semiHidden/>
    <w:rsid w:val="00B1086A"/>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ena.hubble@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matthews1@nhs.net" TargetMode="External"/><Relationship Id="rId4" Type="http://schemas.openxmlformats.org/officeDocument/2006/relationships/webSettings" Target="webSettings.xml"/><Relationship Id="rId9" Type="http://schemas.openxmlformats.org/officeDocument/2006/relationships/hyperlink" Target="mailto:kat.haynes@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2019</Words>
  <Characters>11931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nsquires</dc:creator>
  <cp:lastModifiedBy>HILTON, Sophie (ROYAL DEVON UNIVERSITY HEALTHCARE NHS FOUNDATION TRUST)</cp:lastModifiedBy>
  <cp:revision>2</cp:revision>
  <cp:lastPrinted>2013-04-25T12:19:00Z</cp:lastPrinted>
  <dcterms:created xsi:type="dcterms:W3CDTF">2025-03-26T12:22:00Z</dcterms:created>
  <dcterms:modified xsi:type="dcterms:W3CDTF">2025-03-26T12:22:00Z</dcterms:modified>
</cp:coreProperties>
</file>