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110" w:rsidRDefault="00C440EA">
      <w:pPr>
        <w:ind w:left="5017"/>
        <w:rPr>
          <w:rFonts w:ascii="Times New Roman"/>
          <w:sz w:val="20"/>
        </w:rPr>
      </w:pPr>
      <w:r>
        <w:rPr>
          <w:rFonts w:ascii="Times New Roman"/>
          <w:noProof/>
          <w:sz w:val="20"/>
        </w:rPr>
        <w:drawing>
          <wp:inline distT="0" distB="0" distL="0" distR="0">
            <wp:extent cx="940349" cy="3524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40349" cy="352425"/>
                    </a:xfrm>
                    <a:prstGeom prst="rect">
                      <a:avLst/>
                    </a:prstGeom>
                  </pic:spPr>
                </pic:pic>
              </a:graphicData>
            </a:graphic>
          </wp:inline>
        </w:drawing>
      </w:r>
    </w:p>
    <w:p w:rsidR="00A82110" w:rsidRDefault="00A82110">
      <w:pPr>
        <w:pStyle w:val="BodyText"/>
        <w:rPr>
          <w:rFonts w:ascii="Times New Roman"/>
          <w:sz w:val="38"/>
        </w:rPr>
      </w:pPr>
    </w:p>
    <w:p w:rsidR="00A82110" w:rsidRDefault="00A82110">
      <w:pPr>
        <w:pStyle w:val="BodyText"/>
        <w:rPr>
          <w:rFonts w:ascii="Times New Roman"/>
          <w:sz w:val="38"/>
        </w:rPr>
      </w:pPr>
    </w:p>
    <w:p w:rsidR="00A82110" w:rsidRDefault="00A82110">
      <w:pPr>
        <w:pStyle w:val="BodyText"/>
        <w:rPr>
          <w:rFonts w:ascii="Times New Roman"/>
          <w:sz w:val="38"/>
        </w:rPr>
      </w:pPr>
    </w:p>
    <w:p w:rsidR="00A82110" w:rsidRDefault="00A82110">
      <w:pPr>
        <w:pStyle w:val="BodyText"/>
        <w:rPr>
          <w:rFonts w:ascii="Times New Roman"/>
          <w:sz w:val="38"/>
        </w:rPr>
      </w:pPr>
    </w:p>
    <w:p w:rsidR="00A82110" w:rsidRDefault="00A82110">
      <w:pPr>
        <w:pStyle w:val="BodyText"/>
        <w:rPr>
          <w:rFonts w:ascii="Times New Roman"/>
          <w:sz w:val="38"/>
        </w:rPr>
      </w:pPr>
    </w:p>
    <w:p w:rsidR="00A82110" w:rsidRDefault="00A82110">
      <w:pPr>
        <w:pStyle w:val="BodyText"/>
        <w:rPr>
          <w:rFonts w:ascii="Times New Roman"/>
          <w:sz w:val="38"/>
        </w:rPr>
      </w:pPr>
    </w:p>
    <w:p w:rsidR="00A82110" w:rsidRDefault="00A82110">
      <w:pPr>
        <w:pStyle w:val="BodyText"/>
        <w:rPr>
          <w:rFonts w:ascii="Times New Roman"/>
          <w:sz w:val="38"/>
        </w:rPr>
      </w:pPr>
    </w:p>
    <w:p w:rsidR="00A82110" w:rsidRDefault="00A82110">
      <w:pPr>
        <w:pStyle w:val="BodyText"/>
        <w:rPr>
          <w:rFonts w:ascii="Times New Roman"/>
          <w:sz w:val="38"/>
        </w:rPr>
      </w:pPr>
    </w:p>
    <w:p w:rsidR="00A82110" w:rsidRDefault="00A82110">
      <w:pPr>
        <w:pStyle w:val="BodyText"/>
        <w:spacing w:before="40"/>
        <w:rPr>
          <w:rFonts w:ascii="Times New Roman"/>
          <w:sz w:val="38"/>
        </w:rPr>
      </w:pPr>
    </w:p>
    <w:p w:rsidR="00A82110" w:rsidRDefault="00C440EA">
      <w:pPr>
        <w:pStyle w:val="Heading1"/>
        <w:spacing w:line="360" w:lineRule="auto"/>
      </w:pPr>
      <w:r>
        <w:t>Royal</w:t>
      </w:r>
      <w:r>
        <w:rPr>
          <w:spacing w:val="-9"/>
        </w:rPr>
        <w:t xml:space="preserve"> </w:t>
      </w:r>
      <w:r>
        <w:t>Devon</w:t>
      </w:r>
      <w:r>
        <w:rPr>
          <w:spacing w:val="-5"/>
        </w:rPr>
        <w:t xml:space="preserve"> </w:t>
      </w:r>
      <w:r>
        <w:t>University</w:t>
      </w:r>
      <w:r>
        <w:rPr>
          <w:spacing w:val="-13"/>
        </w:rPr>
        <w:t xml:space="preserve"> </w:t>
      </w:r>
      <w:r>
        <w:t>Healthcare</w:t>
      </w:r>
      <w:r>
        <w:rPr>
          <w:spacing w:val="-9"/>
        </w:rPr>
        <w:t xml:space="preserve"> </w:t>
      </w:r>
      <w:r>
        <w:t>NHS Foundation Trust</w:t>
      </w:r>
    </w:p>
    <w:p w:rsidR="00A82110" w:rsidRDefault="00A82110">
      <w:pPr>
        <w:pStyle w:val="BodyText"/>
        <w:rPr>
          <w:rFonts w:ascii="Arial"/>
          <w:b/>
          <w:sz w:val="38"/>
        </w:rPr>
      </w:pPr>
    </w:p>
    <w:p w:rsidR="00A82110" w:rsidRDefault="00A82110">
      <w:pPr>
        <w:pStyle w:val="BodyText"/>
        <w:rPr>
          <w:rFonts w:ascii="Arial"/>
          <w:b/>
          <w:sz w:val="38"/>
        </w:rPr>
      </w:pPr>
    </w:p>
    <w:p w:rsidR="00A82110" w:rsidRDefault="00A82110">
      <w:pPr>
        <w:pStyle w:val="BodyText"/>
        <w:spacing w:before="68"/>
        <w:rPr>
          <w:rFonts w:ascii="Arial"/>
          <w:b/>
          <w:sz w:val="38"/>
        </w:rPr>
      </w:pPr>
    </w:p>
    <w:p w:rsidR="00A82110" w:rsidRDefault="00C440EA">
      <w:pPr>
        <w:spacing w:line="360" w:lineRule="auto"/>
        <w:ind w:left="1766" w:right="1960"/>
        <w:jc w:val="center"/>
        <w:rPr>
          <w:rFonts w:ascii="Arial"/>
          <w:b/>
          <w:sz w:val="36"/>
        </w:rPr>
      </w:pPr>
      <w:r>
        <w:rPr>
          <w:rFonts w:ascii="Arial"/>
          <w:b/>
          <w:sz w:val="36"/>
        </w:rPr>
        <w:t>TRUST</w:t>
      </w:r>
      <w:r>
        <w:rPr>
          <w:rFonts w:ascii="Arial"/>
          <w:b/>
          <w:spacing w:val="-17"/>
          <w:sz w:val="36"/>
        </w:rPr>
        <w:t xml:space="preserve"> </w:t>
      </w:r>
      <w:r>
        <w:rPr>
          <w:rFonts w:ascii="Arial"/>
          <w:b/>
          <w:sz w:val="36"/>
        </w:rPr>
        <w:t xml:space="preserve">DOCTOR </w:t>
      </w:r>
      <w:r>
        <w:rPr>
          <w:rFonts w:ascii="Arial"/>
          <w:b/>
          <w:spacing w:val="-6"/>
          <w:sz w:val="36"/>
        </w:rPr>
        <w:t>IN</w:t>
      </w:r>
    </w:p>
    <w:p w:rsidR="00A82110" w:rsidRDefault="00C440EA">
      <w:pPr>
        <w:spacing w:before="208"/>
        <w:ind w:left="56" w:right="253"/>
        <w:jc w:val="center"/>
        <w:rPr>
          <w:rFonts w:ascii="Arial"/>
          <w:b/>
          <w:sz w:val="36"/>
        </w:rPr>
      </w:pPr>
      <w:r>
        <w:rPr>
          <w:rFonts w:ascii="Arial"/>
          <w:b/>
          <w:sz w:val="36"/>
        </w:rPr>
        <w:t>VASCULAR</w:t>
      </w:r>
      <w:r>
        <w:rPr>
          <w:rFonts w:ascii="Arial"/>
          <w:b/>
          <w:spacing w:val="-7"/>
          <w:sz w:val="36"/>
        </w:rPr>
        <w:t xml:space="preserve"> </w:t>
      </w:r>
      <w:r>
        <w:rPr>
          <w:rFonts w:ascii="Arial"/>
          <w:b/>
          <w:sz w:val="36"/>
        </w:rPr>
        <w:t>&amp;</w:t>
      </w:r>
      <w:r>
        <w:rPr>
          <w:rFonts w:ascii="Arial"/>
          <w:b/>
          <w:spacing w:val="-8"/>
          <w:sz w:val="36"/>
        </w:rPr>
        <w:t xml:space="preserve"> </w:t>
      </w:r>
      <w:r>
        <w:rPr>
          <w:rFonts w:ascii="Arial"/>
          <w:b/>
          <w:sz w:val="36"/>
        </w:rPr>
        <w:t>GENERAL</w:t>
      </w:r>
      <w:r>
        <w:rPr>
          <w:rFonts w:ascii="Arial"/>
          <w:b/>
          <w:spacing w:val="-10"/>
          <w:sz w:val="36"/>
        </w:rPr>
        <w:t xml:space="preserve"> </w:t>
      </w:r>
      <w:r>
        <w:rPr>
          <w:rFonts w:ascii="Arial"/>
          <w:b/>
          <w:spacing w:val="-2"/>
          <w:sz w:val="36"/>
        </w:rPr>
        <w:t>SURGERY</w:t>
      </w:r>
    </w:p>
    <w:p w:rsidR="00A82110" w:rsidRDefault="00A82110">
      <w:pPr>
        <w:pStyle w:val="BodyText"/>
        <w:spacing w:before="413"/>
        <w:rPr>
          <w:rFonts w:ascii="Arial"/>
          <w:b/>
          <w:sz w:val="36"/>
        </w:rPr>
      </w:pPr>
    </w:p>
    <w:p w:rsidR="00A82110" w:rsidRDefault="00A82110" w:rsidP="00255E9C">
      <w:pPr>
        <w:ind w:left="55" w:right="253"/>
        <w:rPr>
          <w:rFonts w:ascii="Arial"/>
          <w:b/>
          <w:sz w:val="36"/>
        </w:rPr>
      </w:pPr>
    </w:p>
    <w:p w:rsidR="00A82110" w:rsidRDefault="00A82110">
      <w:pPr>
        <w:jc w:val="center"/>
        <w:rPr>
          <w:rFonts w:ascii="Arial"/>
          <w:b/>
          <w:sz w:val="36"/>
        </w:rPr>
        <w:sectPr w:rsidR="00A82110">
          <w:type w:val="continuous"/>
          <w:pgSz w:w="11910" w:h="16840"/>
          <w:pgMar w:top="1660" w:right="850" w:bottom="280" w:left="1559" w:header="720" w:footer="720" w:gutter="0"/>
          <w:cols w:space="720"/>
        </w:sectPr>
      </w:pPr>
      <w:bookmarkStart w:id="0" w:name="_GoBack"/>
      <w:bookmarkEnd w:id="0"/>
    </w:p>
    <w:p w:rsidR="00A82110" w:rsidRDefault="00C440EA">
      <w:pPr>
        <w:pStyle w:val="Heading2"/>
        <w:spacing w:before="78"/>
        <w:rPr>
          <w:u w:val="none"/>
        </w:rPr>
      </w:pPr>
      <w:r>
        <w:rPr>
          <w:spacing w:val="-2"/>
        </w:rPr>
        <w:lastRenderedPageBreak/>
        <w:t>Introduction</w:t>
      </w:r>
    </w:p>
    <w:p w:rsidR="00A82110" w:rsidRDefault="00A82110">
      <w:pPr>
        <w:pStyle w:val="BodyText"/>
        <w:rPr>
          <w:rFonts w:ascii="Arial"/>
          <w:b/>
        </w:rPr>
      </w:pPr>
    </w:p>
    <w:p w:rsidR="00A82110" w:rsidRDefault="00A82110">
      <w:pPr>
        <w:pStyle w:val="BodyText"/>
        <w:spacing w:before="2"/>
        <w:rPr>
          <w:rFonts w:ascii="Arial"/>
          <w:b/>
        </w:rPr>
      </w:pPr>
    </w:p>
    <w:p w:rsidR="00A82110" w:rsidRDefault="00C440EA">
      <w:pPr>
        <w:ind w:left="239"/>
        <w:rPr>
          <w:rFonts w:ascii="Arial"/>
          <w:b/>
        </w:rPr>
      </w:pPr>
      <w:r>
        <w:rPr>
          <w:rFonts w:ascii="Arial"/>
          <w:b/>
          <w:u w:val="single"/>
        </w:rPr>
        <w:t>The</w:t>
      </w:r>
      <w:r>
        <w:rPr>
          <w:rFonts w:ascii="Arial"/>
          <w:b/>
          <w:spacing w:val="-4"/>
          <w:u w:val="single"/>
        </w:rPr>
        <w:t xml:space="preserve"> post</w:t>
      </w:r>
    </w:p>
    <w:p w:rsidR="00A82110" w:rsidRDefault="00C440EA">
      <w:pPr>
        <w:pStyle w:val="BodyText"/>
        <w:spacing w:before="127" w:line="360" w:lineRule="auto"/>
        <w:ind w:left="239" w:right="427"/>
        <w:jc w:val="both"/>
      </w:pPr>
      <w:r>
        <w:t xml:space="preserve">We are looking for an enthusiastic trainee to join our General Surgery unit at the FY2/CT1 level, the training and responsibilities of the posts will be tailored for the appointees, however this is a Trust post therefore training will not be </w:t>
      </w:r>
      <w:proofErr w:type="spellStart"/>
      <w:r>
        <w:t>recognised</w:t>
      </w:r>
      <w:proofErr w:type="spellEnd"/>
      <w:r>
        <w:t xml:space="preserve"> by the Deanery you will be allocated a supervisor and given inhouse training and access to theatres etc.</w:t>
      </w:r>
    </w:p>
    <w:p w:rsidR="00A82110" w:rsidRDefault="00A82110">
      <w:pPr>
        <w:pStyle w:val="BodyText"/>
        <w:spacing w:before="125"/>
      </w:pPr>
    </w:p>
    <w:p w:rsidR="00A82110" w:rsidRDefault="00C440EA">
      <w:pPr>
        <w:pStyle w:val="BodyText"/>
        <w:spacing w:line="360" w:lineRule="auto"/>
        <w:ind w:left="239" w:right="429"/>
        <w:jc w:val="both"/>
      </w:pPr>
      <w:r>
        <w:t xml:space="preserve">The posts can be slightly flexible with both the posts be based within Vascular teams but may be asked to support other General Surgery wards due to sickness cover </w:t>
      </w:r>
      <w:proofErr w:type="spellStart"/>
      <w:r>
        <w:t>etc</w:t>
      </w:r>
      <w:proofErr w:type="spellEnd"/>
      <w:r>
        <w:t xml:space="preserve"> with a shared slot on the </w:t>
      </w:r>
      <w:proofErr w:type="spellStart"/>
      <w:r>
        <w:t>oncall</w:t>
      </w:r>
      <w:proofErr w:type="spellEnd"/>
      <w:r>
        <w:t xml:space="preserve"> </w:t>
      </w:r>
      <w:proofErr w:type="spellStart"/>
      <w:r>
        <w:t>rota</w:t>
      </w:r>
      <w:proofErr w:type="spellEnd"/>
      <w:r>
        <w:t>.</w:t>
      </w:r>
      <w:r>
        <w:rPr>
          <w:spacing w:val="-2"/>
        </w:rPr>
        <w:t xml:space="preserve"> </w:t>
      </w:r>
      <w:r>
        <w:t>Within these teams you will be given opportunity for training sessions with the team in both elective and emergency work. These posts are ideal for anyone who has undergone some basic surgical training and wants to improve their skills and experience in order to move towards working towards their next step in training.</w:t>
      </w:r>
    </w:p>
    <w:p w:rsidR="00A82110" w:rsidRDefault="00A82110">
      <w:pPr>
        <w:pStyle w:val="BodyText"/>
        <w:spacing w:before="127"/>
      </w:pPr>
    </w:p>
    <w:p w:rsidR="00A82110" w:rsidRDefault="00C440EA">
      <w:pPr>
        <w:pStyle w:val="BodyText"/>
        <w:spacing w:line="360" w:lineRule="auto"/>
        <w:ind w:left="239" w:right="430"/>
        <w:jc w:val="both"/>
      </w:pPr>
      <w:r>
        <w:t>The Vascular Unit is the hub of the Exeter and South Devon vascular service. There is a high throughput of arterial, venous and renal access work on both an elective and emergent basis.</w:t>
      </w:r>
      <w:r>
        <w:rPr>
          <w:spacing w:val="40"/>
        </w:rPr>
        <w:t xml:space="preserve"> </w:t>
      </w:r>
      <w:r>
        <w:t>The</w:t>
      </w:r>
      <w:r>
        <w:rPr>
          <w:spacing w:val="-4"/>
        </w:rPr>
        <w:t xml:space="preserve"> </w:t>
      </w:r>
      <w:r>
        <w:t>unit prides</w:t>
      </w:r>
      <w:r>
        <w:rPr>
          <w:spacing w:val="-4"/>
        </w:rPr>
        <w:t xml:space="preserve"> </w:t>
      </w:r>
      <w:r>
        <w:t>itself on</w:t>
      </w:r>
      <w:r>
        <w:rPr>
          <w:spacing w:val="-4"/>
        </w:rPr>
        <w:t xml:space="preserve"> </w:t>
      </w:r>
      <w:r>
        <w:t>having a</w:t>
      </w:r>
      <w:r>
        <w:rPr>
          <w:spacing w:val="-4"/>
        </w:rPr>
        <w:t xml:space="preserve"> </w:t>
      </w:r>
      <w:r>
        <w:t>highly</w:t>
      </w:r>
      <w:r>
        <w:rPr>
          <w:spacing w:val="-6"/>
        </w:rPr>
        <w:t xml:space="preserve"> </w:t>
      </w:r>
      <w:r>
        <w:t>functional</w:t>
      </w:r>
      <w:r>
        <w:rPr>
          <w:spacing w:val="-3"/>
        </w:rPr>
        <w:t xml:space="preserve"> </w:t>
      </w:r>
      <w:r>
        <w:t>and</w:t>
      </w:r>
      <w:r>
        <w:rPr>
          <w:spacing w:val="-4"/>
        </w:rPr>
        <w:t xml:space="preserve"> </w:t>
      </w:r>
      <w:r>
        <w:t>effective</w:t>
      </w:r>
      <w:r>
        <w:rPr>
          <w:spacing w:val="-2"/>
        </w:rPr>
        <w:t xml:space="preserve"> </w:t>
      </w:r>
      <w:r>
        <w:t>team</w:t>
      </w:r>
      <w:r>
        <w:rPr>
          <w:spacing w:val="-1"/>
        </w:rPr>
        <w:t xml:space="preserve"> </w:t>
      </w:r>
      <w:r>
        <w:t>who deliver excellent patient care, whilst maintaining a strong focus on surgical education and the career development of its trainees. This role supports the increased demands of the Vascular service and offers the appointee opportunity for gaining clinical and surgical exposure as well as research opportunities.</w:t>
      </w:r>
    </w:p>
    <w:p w:rsidR="00A82110" w:rsidRDefault="00A82110">
      <w:pPr>
        <w:pStyle w:val="BodyText"/>
        <w:spacing w:before="127"/>
      </w:pPr>
    </w:p>
    <w:p w:rsidR="00A82110" w:rsidRDefault="00C440EA">
      <w:pPr>
        <w:pStyle w:val="BodyText"/>
        <w:spacing w:before="1" w:line="360" w:lineRule="auto"/>
        <w:ind w:left="239" w:right="432"/>
        <w:jc w:val="both"/>
      </w:pPr>
      <w:r>
        <w:t>The departments are well supported by a perioperative service lead by anesthetic and medical consultants.</w:t>
      </w:r>
      <w:r>
        <w:rPr>
          <w:spacing w:val="40"/>
        </w:rPr>
        <w:t xml:space="preserve"> </w:t>
      </w:r>
      <w:r>
        <w:t>There will also be the opportunity to engage in relevant ongoing research and quality improvement projects.</w:t>
      </w:r>
    </w:p>
    <w:p w:rsidR="00A82110" w:rsidRDefault="00A82110">
      <w:pPr>
        <w:pStyle w:val="BodyText"/>
        <w:spacing w:before="125"/>
      </w:pPr>
    </w:p>
    <w:p w:rsidR="00A82110" w:rsidRDefault="00C440EA">
      <w:pPr>
        <w:pStyle w:val="Heading2"/>
        <w:rPr>
          <w:u w:val="none"/>
        </w:rPr>
      </w:pPr>
      <w:r>
        <w:rPr>
          <w:spacing w:val="-2"/>
        </w:rPr>
        <w:t>Training</w:t>
      </w:r>
    </w:p>
    <w:p w:rsidR="00A82110" w:rsidRDefault="00C440EA">
      <w:pPr>
        <w:pStyle w:val="BodyText"/>
        <w:spacing w:before="126" w:line="362" w:lineRule="auto"/>
        <w:ind w:left="239" w:right="435"/>
        <w:jc w:val="both"/>
      </w:pPr>
      <w:r>
        <w:t>The doctor will be allocated an educational supervisor and a personal development plan created in order to define their training needs.</w:t>
      </w:r>
    </w:p>
    <w:p w:rsidR="00A82110" w:rsidRDefault="00A82110">
      <w:pPr>
        <w:pStyle w:val="BodyText"/>
        <w:spacing w:before="124"/>
      </w:pPr>
    </w:p>
    <w:p w:rsidR="00A82110" w:rsidRDefault="00C440EA">
      <w:pPr>
        <w:pStyle w:val="Heading2"/>
        <w:rPr>
          <w:u w:val="none"/>
        </w:rPr>
      </w:pPr>
      <w:r>
        <w:rPr>
          <w:spacing w:val="-2"/>
        </w:rPr>
        <w:t>Duties</w:t>
      </w:r>
    </w:p>
    <w:p w:rsidR="00A82110" w:rsidRDefault="00C440EA">
      <w:pPr>
        <w:pStyle w:val="BodyText"/>
        <w:spacing w:before="126" w:line="360" w:lineRule="auto"/>
        <w:ind w:left="239" w:right="430"/>
        <w:jc w:val="both"/>
      </w:pPr>
      <w:r>
        <w:t>The</w:t>
      </w:r>
      <w:r>
        <w:rPr>
          <w:spacing w:val="-2"/>
        </w:rPr>
        <w:t xml:space="preserve"> </w:t>
      </w:r>
      <w:r>
        <w:t xml:space="preserve">Trust Doctor will be expected to attend ward rounds, assist in outpatient clinics, assist in operating lists, be part of the on call </w:t>
      </w:r>
      <w:proofErr w:type="spellStart"/>
      <w:r>
        <w:t>rota</w:t>
      </w:r>
      <w:proofErr w:type="spellEnd"/>
      <w:r>
        <w:t>, as well as other duties.</w:t>
      </w:r>
      <w:r>
        <w:rPr>
          <w:spacing w:val="40"/>
        </w:rPr>
        <w:t xml:space="preserve"> </w:t>
      </w:r>
      <w:r>
        <w:t xml:space="preserve">Annual and Study Leave is with prior arrangement and there is internal prospective cover on each surgical </w:t>
      </w:r>
      <w:r>
        <w:rPr>
          <w:spacing w:val="-2"/>
        </w:rPr>
        <w:t>firm.</w:t>
      </w:r>
    </w:p>
    <w:p w:rsidR="00A82110" w:rsidRDefault="00A82110">
      <w:pPr>
        <w:pStyle w:val="BodyText"/>
        <w:spacing w:line="360" w:lineRule="auto"/>
        <w:jc w:val="both"/>
        <w:sectPr w:rsidR="00A82110">
          <w:footerReference w:type="default" r:id="rId7"/>
          <w:pgSz w:w="11910" w:h="16840"/>
          <w:pgMar w:top="1540" w:right="850" w:bottom="940" w:left="1559" w:header="0" w:footer="754" w:gutter="0"/>
          <w:pgNumType w:start="1"/>
          <w:cols w:space="720"/>
        </w:sectPr>
      </w:pPr>
    </w:p>
    <w:p w:rsidR="00A82110" w:rsidRDefault="00C440EA">
      <w:pPr>
        <w:pStyle w:val="Heading2"/>
        <w:spacing w:before="78"/>
        <w:rPr>
          <w:u w:val="none"/>
        </w:rPr>
      </w:pPr>
      <w:r>
        <w:rPr>
          <w:spacing w:val="-4"/>
        </w:rPr>
        <w:lastRenderedPageBreak/>
        <w:t>Rota</w:t>
      </w:r>
    </w:p>
    <w:p w:rsidR="00A82110" w:rsidRDefault="00C440EA">
      <w:pPr>
        <w:pStyle w:val="BodyText"/>
        <w:spacing w:before="127" w:line="362" w:lineRule="auto"/>
        <w:ind w:left="239" w:right="431"/>
        <w:jc w:val="both"/>
      </w:pPr>
      <w:r>
        <w:t>The</w:t>
      </w:r>
      <w:r>
        <w:rPr>
          <w:spacing w:val="-2"/>
        </w:rPr>
        <w:t xml:space="preserve"> </w:t>
      </w:r>
      <w:proofErr w:type="spellStart"/>
      <w:r>
        <w:t>rota</w:t>
      </w:r>
      <w:proofErr w:type="spellEnd"/>
      <w:r>
        <w:rPr>
          <w:spacing w:val="-1"/>
        </w:rPr>
        <w:t xml:space="preserve"> </w:t>
      </w:r>
      <w:r>
        <w:t>is scheduled as</w:t>
      </w:r>
      <w:r>
        <w:rPr>
          <w:spacing w:val="-2"/>
        </w:rPr>
        <w:t xml:space="preserve"> </w:t>
      </w:r>
      <w:r>
        <w:t xml:space="preserve">a 1:18 on-call </w:t>
      </w:r>
      <w:proofErr w:type="spellStart"/>
      <w:r>
        <w:t>rota</w:t>
      </w:r>
      <w:proofErr w:type="spellEnd"/>
      <w:r>
        <w:t xml:space="preserve"> and</w:t>
      </w:r>
      <w:r>
        <w:rPr>
          <w:spacing w:val="-2"/>
        </w:rPr>
        <w:t xml:space="preserve"> </w:t>
      </w:r>
      <w:r>
        <w:t>these slots will share a</w:t>
      </w:r>
      <w:r>
        <w:rPr>
          <w:spacing w:val="-2"/>
        </w:rPr>
        <w:t xml:space="preserve"> </w:t>
      </w:r>
      <w:r>
        <w:t>full time slot which will include long days, post takes, nights as well as weekend and Bank holiday cover.</w:t>
      </w:r>
    </w:p>
    <w:p w:rsidR="00A82110" w:rsidRDefault="00A82110">
      <w:pPr>
        <w:pStyle w:val="BodyText"/>
        <w:spacing w:before="123"/>
      </w:pPr>
    </w:p>
    <w:p w:rsidR="00A82110" w:rsidRDefault="00C440EA">
      <w:pPr>
        <w:pStyle w:val="BodyText"/>
        <w:spacing w:line="360" w:lineRule="auto"/>
        <w:ind w:left="239" w:right="428"/>
        <w:jc w:val="both"/>
      </w:pPr>
      <w:r>
        <w:t xml:space="preserve">In emergencies and exceptional </w:t>
      </w:r>
      <w:proofErr w:type="gramStart"/>
      <w:r>
        <w:t>circumstances</w:t>
      </w:r>
      <w:proofErr w:type="gramEnd"/>
      <w:r>
        <w:t xml:space="preserve"> the Trust Doctor will be expected to</w:t>
      </w:r>
      <w:r>
        <w:rPr>
          <w:spacing w:val="40"/>
        </w:rPr>
        <w:t xml:space="preserve"> </w:t>
      </w:r>
      <w:r>
        <w:t>provide cover for the absences of colleagues, provided the resulting increase in workload is reasonable in the circumstances.</w:t>
      </w:r>
      <w:r>
        <w:rPr>
          <w:spacing w:val="40"/>
        </w:rPr>
        <w:t xml:space="preserve"> </w:t>
      </w:r>
      <w:r>
        <w:t xml:space="preserve">All Doctors part of this </w:t>
      </w:r>
      <w:proofErr w:type="spellStart"/>
      <w:r>
        <w:t>rota</w:t>
      </w:r>
      <w:proofErr w:type="spellEnd"/>
      <w:r>
        <w:t xml:space="preserve"> will be expected to prospectively cover colleagues in the normal run of his/her duties within his/her contract, work outside normal contracted hours performed under these circumstances will be payable at standard duties and in line with their contract.</w:t>
      </w:r>
    </w:p>
    <w:p w:rsidR="00A82110" w:rsidRDefault="00A82110">
      <w:pPr>
        <w:pStyle w:val="BodyText"/>
        <w:spacing w:before="127"/>
      </w:pPr>
    </w:p>
    <w:p w:rsidR="00A82110" w:rsidRDefault="00C440EA">
      <w:pPr>
        <w:pStyle w:val="Heading2"/>
        <w:rPr>
          <w:u w:val="none"/>
        </w:rPr>
      </w:pPr>
      <w:r>
        <w:t>The</w:t>
      </w:r>
      <w:r>
        <w:rPr>
          <w:spacing w:val="-4"/>
        </w:rPr>
        <w:t xml:space="preserve"> </w:t>
      </w:r>
      <w:r>
        <w:rPr>
          <w:spacing w:val="-2"/>
        </w:rPr>
        <w:t>Hospital</w:t>
      </w:r>
    </w:p>
    <w:p w:rsidR="00A82110" w:rsidRDefault="00C440EA">
      <w:pPr>
        <w:pStyle w:val="BodyText"/>
        <w:spacing w:before="127" w:line="360" w:lineRule="auto"/>
        <w:ind w:left="239" w:right="432"/>
        <w:jc w:val="both"/>
      </w:pPr>
      <w:r>
        <w:t>The RD&amp;E has developed a reputation as an innovative, leading acute hospital over 250 years.</w:t>
      </w:r>
      <w:r>
        <w:rPr>
          <w:spacing w:val="80"/>
        </w:rPr>
        <w:t xml:space="preserve"> </w:t>
      </w:r>
      <w:r>
        <w:t>The Trust was one of the first in the country to achieve Foundation status.</w:t>
      </w:r>
      <w:r>
        <w:rPr>
          <w:spacing w:val="80"/>
        </w:rPr>
        <w:t xml:space="preserve"> </w:t>
      </w:r>
      <w:r>
        <w:t>It makes a significant contribution to world-class research and development that improves the quality, experience and effectiveness of healthcare.</w:t>
      </w:r>
      <w:r>
        <w:rPr>
          <w:spacing w:val="40"/>
        </w:rPr>
        <w:t xml:space="preserve"> </w:t>
      </w:r>
      <w:r>
        <w:t xml:space="preserve">The Research, Innovation, Learning and Development </w:t>
      </w:r>
      <w:proofErr w:type="spellStart"/>
      <w:r>
        <w:t>centre</w:t>
      </w:r>
      <w:proofErr w:type="spellEnd"/>
      <w:r>
        <w:t xml:space="preserve"> on site was completed in January 2014.</w:t>
      </w:r>
      <w:r>
        <w:rPr>
          <w:spacing w:val="40"/>
        </w:rPr>
        <w:t xml:space="preserve"> </w:t>
      </w:r>
      <w:r>
        <w:t xml:space="preserve">It is a £27.5m development, which consists of the </w:t>
      </w:r>
      <w:proofErr w:type="spellStart"/>
      <w:r>
        <w:t>Wellcome</w:t>
      </w:r>
      <w:proofErr w:type="spellEnd"/>
      <w:r>
        <w:t xml:space="preserve"> Wolfson Centre for Medical Research, the National Institute for Health Research (NIHR) Exeter Clinical Research Facility, and a new Post Graduate Education Centre.</w:t>
      </w:r>
    </w:p>
    <w:p w:rsidR="00A82110" w:rsidRDefault="00C440EA">
      <w:pPr>
        <w:pStyle w:val="BodyText"/>
        <w:spacing w:line="360" w:lineRule="auto"/>
        <w:ind w:left="239" w:right="440"/>
        <w:jc w:val="both"/>
      </w:pPr>
      <w:r>
        <w:t>The</w:t>
      </w:r>
      <w:r>
        <w:rPr>
          <w:spacing w:val="-3"/>
        </w:rPr>
        <w:t xml:space="preserve"> </w:t>
      </w:r>
      <w:r>
        <w:t>recently</w:t>
      </w:r>
      <w:r>
        <w:rPr>
          <w:spacing w:val="-3"/>
        </w:rPr>
        <w:t xml:space="preserve"> </w:t>
      </w:r>
      <w:r>
        <w:t>established</w:t>
      </w:r>
      <w:r>
        <w:rPr>
          <w:spacing w:val="-1"/>
        </w:rPr>
        <w:t xml:space="preserve"> </w:t>
      </w:r>
      <w:r>
        <w:t>and</w:t>
      </w:r>
      <w:r>
        <w:rPr>
          <w:spacing w:val="-3"/>
        </w:rPr>
        <w:t xml:space="preserve"> </w:t>
      </w:r>
      <w:proofErr w:type="gramStart"/>
      <w:r>
        <w:t>forward</w:t>
      </w:r>
      <w:r>
        <w:rPr>
          <w:spacing w:val="-2"/>
        </w:rPr>
        <w:t xml:space="preserve"> </w:t>
      </w:r>
      <w:r>
        <w:t>thinking</w:t>
      </w:r>
      <w:proofErr w:type="gramEnd"/>
      <w:r>
        <w:t xml:space="preserve"> University</w:t>
      </w:r>
      <w:r>
        <w:rPr>
          <w:spacing w:val="-2"/>
        </w:rPr>
        <w:t xml:space="preserve"> </w:t>
      </w:r>
      <w:r>
        <w:t>of Exeter</w:t>
      </w:r>
      <w:r>
        <w:rPr>
          <w:spacing w:val="-1"/>
        </w:rPr>
        <w:t xml:space="preserve"> </w:t>
      </w:r>
      <w:r>
        <w:t>Medical School</w:t>
      </w:r>
      <w:r>
        <w:rPr>
          <w:spacing w:val="-2"/>
        </w:rPr>
        <w:t xml:space="preserve"> </w:t>
      </w:r>
      <w:r>
        <w:t>(UEMS) employs the wealth of resources at the RD&amp;E for teaching and training.</w:t>
      </w:r>
    </w:p>
    <w:p w:rsidR="00A82110" w:rsidRDefault="00A82110">
      <w:pPr>
        <w:pStyle w:val="BodyText"/>
        <w:spacing w:before="126"/>
      </w:pPr>
    </w:p>
    <w:p w:rsidR="00A82110" w:rsidRDefault="00C440EA">
      <w:pPr>
        <w:pStyle w:val="BodyText"/>
        <w:spacing w:line="360" w:lineRule="auto"/>
        <w:ind w:left="239" w:right="429"/>
        <w:jc w:val="both"/>
      </w:pPr>
      <w:r>
        <w:t>The Royal Devon University Healthcare NHS Foundation Trust comprises</w:t>
      </w:r>
      <w:r>
        <w:rPr>
          <w:spacing w:val="-2"/>
        </w:rPr>
        <w:t xml:space="preserve"> </w:t>
      </w:r>
      <w:r>
        <w:t>all acute District General Hospital facilities and is managed day to day by a Trust Executive which includes clinical directors (with management contracts), a chief executive, a medical director and directors of capital planning, finance and information, human resources, nursing, operations, and, (ex officio) the chairman of the Medical Staff Committee.</w:t>
      </w:r>
      <w:r>
        <w:rPr>
          <w:spacing w:val="40"/>
        </w:rPr>
        <w:t xml:space="preserve"> </w:t>
      </w:r>
      <w:r>
        <w:t>There is a Medical Staff Committee of which all consultants in the Trust and some SAS Grades are members.</w:t>
      </w:r>
      <w:r>
        <w:rPr>
          <w:spacing w:val="40"/>
        </w:rPr>
        <w:t xml:space="preserve"> </w:t>
      </w:r>
      <w:r>
        <w:t>The</w:t>
      </w:r>
      <w:r>
        <w:rPr>
          <w:spacing w:val="-2"/>
        </w:rPr>
        <w:t xml:space="preserve"> </w:t>
      </w:r>
      <w:r>
        <w:t>Committee provides a</w:t>
      </w:r>
      <w:r>
        <w:rPr>
          <w:spacing w:val="-4"/>
        </w:rPr>
        <w:t xml:space="preserve"> </w:t>
      </w:r>
      <w:r>
        <w:t>forum</w:t>
      </w:r>
      <w:r>
        <w:rPr>
          <w:spacing w:val="-3"/>
        </w:rPr>
        <w:t xml:space="preserve"> </w:t>
      </w:r>
      <w:r>
        <w:t>for</w:t>
      </w:r>
      <w:r>
        <w:rPr>
          <w:spacing w:val="-3"/>
        </w:rPr>
        <w:t xml:space="preserve"> </w:t>
      </w:r>
      <w:r>
        <w:t>the discussion</w:t>
      </w:r>
      <w:r>
        <w:rPr>
          <w:spacing w:val="-2"/>
        </w:rPr>
        <w:t xml:space="preserve"> </w:t>
      </w:r>
      <w:r>
        <w:t>of any</w:t>
      </w:r>
      <w:r>
        <w:rPr>
          <w:spacing w:val="-2"/>
        </w:rPr>
        <w:t xml:space="preserve"> </w:t>
      </w:r>
      <w:r>
        <w:t>matters</w:t>
      </w:r>
      <w:r>
        <w:rPr>
          <w:spacing w:val="-1"/>
        </w:rPr>
        <w:t xml:space="preserve"> </w:t>
      </w:r>
      <w:r>
        <w:t>of interest</w:t>
      </w:r>
      <w:r>
        <w:rPr>
          <w:spacing w:val="-3"/>
        </w:rPr>
        <w:t xml:space="preserve"> </w:t>
      </w:r>
      <w:r>
        <w:t>to consultants.</w:t>
      </w:r>
      <w:r>
        <w:rPr>
          <w:spacing w:val="40"/>
        </w:rPr>
        <w:t xml:space="preserve"> </w:t>
      </w:r>
      <w:r>
        <w:t>The</w:t>
      </w:r>
      <w:r>
        <w:rPr>
          <w:spacing w:val="-2"/>
        </w:rPr>
        <w:t xml:space="preserve"> </w:t>
      </w:r>
      <w:r>
        <w:t>Chairman is elected</w:t>
      </w:r>
      <w:r>
        <w:rPr>
          <w:spacing w:val="-2"/>
        </w:rPr>
        <w:t xml:space="preserve"> </w:t>
      </w:r>
      <w:r>
        <w:t>and</w:t>
      </w:r>
      <w:r>
        <w:rPr>
          <w:spacing w:val="-2"/>
        </w:rPr>
        <w:t xml:space="preserve"> </w:t>
      </w:r>
      <w:r>
        <w:t>provides advice to</w:t>
      </w:r>
      <w:r>
        <w:rPr>
          <w:spacing w:val="-2"/>
        </w:rPr>
        <w:t xml:space="preserve"> </w:t>
      </w:r>
      <w:r>
        <w:t>the</w:t>
      </w:r>
      <w:r>
        <w:rPr>
          <w:spacing w:val="-4"/>
        </w:rPr>
        <w:t xml:space="preserve"> </w:t>
      </w:r>
      <w:r>
        <w:t>Trust Executive, which is independent of the clinical directors</w:t>
      </w:r>
    </w:p>
    <w:p w:rsidR="00A82110" w:rsidRDefault="00A82110">
      <w:pPr>
        <w:pStyle w:val="BodyText"/>
        <w:spacing w:line="360" w:lineRule="auto"/>
        <w:jc w:val="both"/>
        <w:sectPr w:rsidR="00A82110">
          <w:pgSz w:w="11910" w:h="16840"/>
          <w:pgMar w:top="1540" w:right="850" w:bottom="940" w:left="1559" w:header="0" w:footer="754" w:gutter="0"/>
          <w:cols w:space="720"/>
        </w:sectPr>
      </w:pPr>
    </w:p>
    <w:p w:rsidR="00A82110" w:rsidRDefault="00C440EA">
      <w:pPr>
        <w:pStyle w:val="Heading2"/>
        <w:spacing w:before="78"/>
        <w:rPr>
          <w:u w:val="none"/>
        </w:rPr>
      </w:pPr>
      <w:r>
        <w:lastRenderedPageBreak/>
        <w:t>General</w:t>
      </w:r>
      <w:r>
        <w:rPr>
          <w:spacing w:val="-6"/>
        </w:rPr>
        <w:t xml:space="preserve"> </w:t>
      </w:r>
      <w:r>
        <w:t>Surgical</w:t>
      </w:r>
      <w:r>
        <w:rPr>
          <w:spacing w:val="-8"/>
        </w:rPr>
        <w:t xml:space="preserve"> </w:t>
      </w:r>
      <w:r>
        <w:t>Cluster</w:t>
      </w:r>
      <w:r>
        <w:rPr>
          <w:spacing w:val="-5"/>
        </w:rPr>
        <w:t xml:space="preserve"> </w:t>
      </w:r>
      <w:r>
        <w:rPr>
          <w:spacing w:val="-2"/>
        </w:rPr>
        <w:t>Profile</w:t>
      </w:r>
    </w:p>
    <w:p w:rsidR="00A82110" w:rsidRDefault="00A82110">
      <w:pPr>
        <w:pStyle w:val="BodyText"/>
        <w:rPr>
          <w:rFonts w:ascii="Arial"/>
          <w:b/>
          <w:sz w:val="20"/>
        </w:rPr>
      </w:pPr>
    </w:p>
    <w:p w:rsidR="00A82110" w:rsidRDefault="00A82110">
      <w:pPr>
        <w:pStyle w:val="BodyText"/>
        <w:spacing w:before="48"/>
        <w:rPr>
          <w:rFonts w:ascii="Arial"/>
          <w:b/>
          <w:sz w:val="20"/>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835"/>
        <w:gridCol w:w="1419"/>
        <w:gridCol w:w="1561"/>
        <w:gridCol w:w="1383"/>
      </w:tblGrid>
      <w:tr w:rsidR="00A82110">
        <w:trPr>
          <w:trHeight w:val="688"/>
        </w:trPr>
        <w:tc>
          <w:tcPr>
            <w:tcW w:w="2126" w:type="dxa"/>
            <w:shd w:val="clear" w:color="auto" w:fill="D9D9D9"/>
          </w:tcPr>
          <w:p w:rsidR="00A82110" w:rsidRDefault="00C440EA">
            <w:pPr>
              <w:pStyle w:val="TableParagraph"/>
              <w:spacing w:before="172"/>
              <w:ind w:left="139"/>
              <w:rPr>
                <w:rFonts w:ascii="Arial"/>
                <w:b/>
                <w:sz w:val="20"/>
              </w:rPr>
            </w:pPr>
            <w:r>
              <w:rPr>
                <w:rFonts w:ascii="Arial"/>
                <w:b/>
                <w:sz w:val="20"/>
              </w:rPr>
              <w:t>Named</w:t>
            </w:r>
            <w:r>
              <w:rPr>
                <w:rFonts w:ascii="Arial"/>
                <w:b/>
                <w:spacing w:val="-7"/>
                <w:sz w:val="20"/>
              </w:rPr>
              <w:t xml:space="preserve"> </w:t>
            </w:r>
            <w:r>
              <w:rPr>
                <w:rFonts w:ascii="Arial"/>
                <w:b/>
                <w:spacing w:val="-2"/>
                <w:sz w:val="20"/>
              </w:rPr>
              <w:t>consultants</w:t>
            </w:r>
          </w:p>
        </w:tc>
        <w:tc>
          <w:tcPr>
            <w:tcW w:w="2835" w:type="dxa"/>
            <w:shd w:val="clear" w:color="auto" w:fill="D9D9D9"/>
          </w:tcPr>
          <w:p w:rsidR="00A82110" w:rsidRDefault="00C440EA">
            <w:pPr>
              <w:pStyle w:val="TableParagraph"/>
              <w:spacing w:before="172"/>
              <w:ind w:left="9" w:right="2"/>
              <w:jc w:val="center"/>
              <w:rPr>
                <w:rFonts w:ascii="Arial"/>
                <w:b/>
                <w:sz w:val="20"/>
              </w:rPr>
            </w:pPr>
            <w:r>
              <w:rPr>
                <w:rFonts w:ascii="Arial"/>
                <w:b/>
                <w:sz w:val="20"/>
              </w:rPr>
              <w:t>Surgical</w:t>
            </w:r>
            <w:r>
              <w:rPr>
                <w:rFonts w:ascii="Arial"/>
                <w:b/>
                <w:spacing w:val="-11"/>
                <w:sz w:val="20"/>
              </w:rPr>
              <w:t xml:space="preserve"> </w:t>
            </w:r>
            <w:r>
              <w:rPr>
                <w:rFonts w:ascii="Arial"/>
                <w:b/>
                <w:spacing w:val="-2"/>
                <w:sz w:val="20"/>
              </w:rPr>
              <w:t>Interests</w:t>
            </w:r>
          </w:p>
        </w:tc>
        <w:tc>
          <w:tcPr>
            <w:tcW w:w="1419" w:type="dxa"/>
            <w:shd w:val="clear" w:color="auto" w:fill="D9D9D9"/>
          </w:tcPr>
          <w:p w:rsidR="00A82110" w:rsidRDefault="00C440EA">
            <w:pPr>
              <w:pStyle w:val="TableParagraph"/>
              <w:spacing w:before="172"/>
              <w:ind w:left="8" w:right="3"/>
              <w:jc w:val="center"/>
              <w:rPr>
                <w:rFonts w:ascii="Arial"/>
                <w:b/>
                <w:sz w:val="20"/>
              </w:rPr>
            </w:pPr>
            <w:r>
              <w:rPr>
                <w:rFonts w:ascii="Arial"/>
                <w:b/>
                <w:sz w:val="20"/>
              </w:rPr>
              <w:t>No</w:t>
            </w:r>
            <w:r>
              <w:rPr>
                <w:rFonts w:ascii="Arial"/>
                <w:b/>
                <w:spacing w:val="-3"/>
                <w:sz w:val="20"/>
              </w:rPr>
              <w:t xml:space="preserve"> </w:t>
            </w:r>
            <w:r>
              <w:rPr>
                <w:rFonts w:ascii="Arial"/>
                <w:b/>
                <w:sz w:val="20"/>
              </w:rPr>
              <w:t>of</w:t>
            </w:r>
            <w:r>
              <w:rPr>
                <w:rFonts w:ascii="Arial"/>
                <w:b/>
                <w:spacing w:val="-1"/>
                <w:sz w:val="20"/>
              </w:rPr>
              <w:t xml:space="preserve"> </w:t>
            </w:r>
            <w:r>
              <w:rPr>
                <w:rFonts w:ascii="Arial"/>
                <w:b/>
                <w:spacing w:val="-5"/>
                <w:sz w:val="20"/>
              </w:rPr>
              <w:t>STs</w:t>
            </w:r>
          </w:p>
        </w:tc>
        <w:tc>
          <w:tcPr>
            <w:tcW w:w="1561" w:type="dxa"/>
            <w:shd w:val="clear" w:color="auto" w:fill="D9D9D9"/>
          </w:tcPr>
          <w:p w:rsidR="00A82110" w:rsidRDefault="00C440EA">
            <w:pPr>
              <w:pStyle w:val="TableParagraph"/>
              <w:spacing w:line="229" w:lineRule="exact"/>
              <w:ind w:left="9" w:right="5"/>
              <w:jc w:val="center"/>
              <w:rPr>
                <w:rFonts w:ascii="Arial"/>
                <w:b/>
                <w:sz w:val="20"/>
              </w:rPr>
            </w:pPr>
            <w:r>
              <w:rPr>
                <w:rFonts w:ascii="Arial"/>
                <w:b/>
                <w:sz w:val="20"/>
              </w:rPr>
              <w:t>No</w:t>
            </w:r>
            <w:r>
              <w:rPr>
                <w:rFonts w:ascii="Arial"/>
                <w:b/>
                <w:spacing w:val="-3"/>
                <w:sz w:val="20"/>
              </w:rPr>
              <w:t xml:space="preserve"> </w:t>
            </w:r>
            <w:r>
              <w:rPr>
                <w:rFonts w:ascii="Arial"/>
                <w:b/>
                <w:spacing w:val="-5"/>
                <w:sz w:val="20"/>
              </w:rPr>
              <w:t>of</w:t>
            </w:r>
          </w:p>
          <w:p w:rsidR="00A82110" w:rsidRDefault="00C440EA">
            <w:pPr>
              <w:pStyle w:val="TableParagraph"/>
              <w:spacing w:before="113"/>
              <w:ind w:left="9"/>
              <w:jc w:val="center"/>
              <w:rPr>
                <w:rFonts w:ascii="Arial"/>
                <w:b/>
                <w:sz w:val="20"/>
              </w:rPr>
            </w:pPr>
            <w:r>
              <w:rPr>
                <w:rFonts w:ascii="Arial"/>
                <w:b/>
                <w:spacing w:val="-2"/>
                <w:sz w:val="20"/>
              </w:rPr>
              <w:t>F2/CTs</w:t>
            </w:r>
          </w:p>
        </w:tc>
        <w:tc>
          <w:tcPr>
            <w:tcW w:w="1383" w:type="dxa"/>
            <w:shd w:val="clear" w:color="auto" w:fill="D9D9D9"/>
          </w:tcPr>
          <w:p w:rsidR="00A82110" w:rsidRDefault="00C440EA">
            <w:pPr>
              <w:pStyle w:val="TableParagraph"/>
              <w:spacing w:line="229" w:lineRule="exact"/>
              <w:ind w:left="8" w:right="4"/>
              <w:jc w:val="center"/>
              <w:rPr>
                <w:rFonts w:ascii="Arial"/>
                <w:b/>
                <w:sz w:val="20"/>
              </w:rPr>
            </w:pPr>
            <w:r>
              <w:rPr>
                <w:rFonts w:ascii="Arial"/>
                <w:b/>
                <w:sz w:val="20"/>
              </w:rPr>
              <w:t>No</w:t>
            </w:r>
            <w:r>
              <w:rPr>
                <w:rFonts w:ascii="Arial"/>
                <w:b/>
                <w:spacing w:val="-3"/>
                <w:sz w:val="20"/>
              </w:rPr>
              <w:t xml:space="preserve"> </w:t>
            </w:r>
            <w:r>
              <w:rPr>
                <w:rFonts w:ascii="Arial"/>
                <w:b/>
                <w:spacing w:val="-5"/>
                <w:sz w:val="20"/>
              </w:rPr>
              <w:t>of</w:t>
            </w:r>
          </w:p>
          <w:p w:rsidR="00A82110" w:rsidRDefault="00C440EA">
            <w:pPr>
              <w:pStyle w:val="TableParagraph"/>
              <w:spacing w:before="113"/>
              <w:ind w:left="8" w:right="2"/>
              <w:jc w:val="center"/>
              <w:rPr>
                <w:rFonts w:ascii="Arial"/>
                <w:b/>
                <w:sz w:val="20"/>
              </w:rPr>
            </w:pPr>
            <w:r>
              <w:rPr>
                <w:rFonts w:ascii="Arial"/>
                <w:b/>
                <w:spacing w:val="-5"/>
                <w:sz w:val="20"/>
              </w:rPr>
              <w:t>F1s</w:t>
            </w:r>
          </w:p>
        </w:tc>
      </w:tr>
      <w:tr w:rsidR="00A82110">
        <w:trPr>
          <w:trHeight w:val="2070"/>
        </w:trPr>
        <w:tc>
          <w:tcPr>
            <w:tcW w:w="2126" w:type="dxa"/>
          </w:tcPr>
          <w:p w:rsidR="00A82110" w:rsidRDefault="00C440EA">
            <w:pPr>
              <w:pStyle w:val="TableParagraph"/>
              <w:spacing w:line="360" w:lineRule="auto"/>
              <w:ind w:left="558" w:right="546"/>
              <w:jc w:val="center"/>
              <w:rPr>
                <w:sz w:val="20"/>
              </w:rPr>
            </w:pPr>
            <w:r>
              <w:rPr>
                <w:spacing w:val="-2"/>
                <w:sz w:val="20"/>
              </w:rPr>
              <w:t xml:space="preserve">Hardy McCarthy </w:t>
            </w:r>
            <w:proofErr w:type="spellStart"/>
            <w:r>
              <w:rPr>
                <w:spacing w:val="-2"/>
                <w:sz w:val="20"/>
              </w:rPr>
              <w:t>Welchman</w:t>
            </w:r>
            <w:proofErr w:type="spellEnd"/>
            <w:r>
              <w:rPr>
                <w:spacing w:val="-2"/>
                <w:sz w:val="20"/>
              </w:rPr>
              <w:t xml:space="preserve"> </w:t>
            </w:r>
            <w:proofErr w:type="spellStart"/>
            <w:r>
              <w:rPr>
                <w:spacing w:val="-2"/>
                <w:sz w:val="20"/>
              </w:rPr>
              <w:t>Birchley</w:t>
            </w:r>
            <w:proofErr w:type="spellEnd"/>
            <w:r>
              <w:rPr>
                <w:spacing w:val="-2"/>
                <w:sz w:val="20"/>
              </w:rPr>
              <w:t xml:space="preserve"> </w:t>
            </w:r>
            <w:r>
              <w:rPr>
                <w:spacing w:val="-4"/>
                <w:sz w:val="20"/>
              </w:rPr>
              <w:t>Guy</w:t>
            </w:r>
          </w:p>
          <w:p w:rsidR="00A82110" w:rsidRDefault="00C440EA">
            <w:pPr>
              <w:pStyle w:val="TableParagraph"/>
              <w:ind w:left="558" w:right="548"/>
              <w:jc w:val="center"/>
              <w:rPr>
                <w:sz w:val="20"/>
              </w:rPr>
            </w:pPr>
            <w:r>
              <w:rPr>
                <w:spacing w:val="-2"/>
                <w:sz w:val="20"/>
              </w:rPr>
              <w:t>Travers</w:t>
            </w:r>
          </w:p>
        </w:tc>
        <w:tc>
          <w:tcPr>
            <w:tcW w:w="2835"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9" w:right="4"/>
              <w:jc w:val="center"/>
              <w:rPr>
                <w:sz w:val="20"/>
              </w:rPr>
            </w:pPr>
            <w:r>
              <w:rPr>
                <w:spacing w:val="-2"/>
                <w:sz w:val="20"/>
              </w:rPr>
              <w:t>Vascular</w:t>
            </w:r>
          </w:p>
        </w:tc>
        <w:tc>
          <w:tcPr>
            <w:tcW w:w="1419"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8"/>
              <w:jc w:val="center"/>
              <w:rPr>
                <w:sz w:val="20"/>
              </w:rPr>
            </w:pPr>
            <w:r>
              <w:rPr>
                <w:spacing w:val="-10"/>
                <w:sz w:val="20"/>
              </w:rPr>
              <w:t>2</w:t>
            </w:r>
          </w:p>
        </w:tc>
        <w:tc>
          <w:tcPr>
            <w:tcW w:w="1561"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9"/>
              <w:jc w:val="center"/>
              <w:rPr>
                <w:sz w:val="20"/>
              </w:rPr>
            </w:pPr>
            <w:r>
              <w:rPr>
                <w:spacing w:val="-10"/>
                <w:sz w:val="20"/>
              </w:rPr>
              <w:t>4</w:t>
            </w:r>
          </w:p>
        </w:tc>
        <w:tc>
          <w:tcPr>
            <w:tcW w:w="1383"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8"/>
              <w:jc w:val="center"/>
              <w:rPr>
                <w:sz w:val="20"/>
              </w:rPr>
            </w:pPr>
            <w:r>
              <w:rPr>
                <w:spacing w:val="-10"/>
                <w:sz w:val="20"/>
              </w:rPr>
              <w:t>3</w:t>
            </w:r>
          </w:p>
        </w:tc>
      </w:tr>
      <w:tr w:rsidR="00A82110">
        <w:trPr>
          <w:trHeight w:val="4829"/>
        </w:trPr>
        <w:tc>
          <w:tcPr>
            <w:tcW w:w="2126" w:type="dxa"/>
          </w:tcPr>
          <w:p w:rsidR="00A82110" w:rsidRDefault="00C440EA" w:rsidP="00C440EA">
            <w:pPr>
              <w:pStyle w:val="TableParagraph"/>
              <w:spacing w:line="360" w:lineRule="auto"/>
              <w:ind w:left="544" w:right="539" w:firstLine="8"/>
              <w:jc w:val="center"/>
              <w:rPr>
                <w:spacing w:val="-2"/>
                <w:sz w:val="20"/>
              </w:rPr>
            </w:pPr>
            <w:r>
              <w:rPr>
                <w:spacing w:val="-2"/>
                <w:sz w:val="20"/>
              </w:rPr>
              <w:t>Chambers Narang Berry</w:t>
            </w:r>
            <w:r>
              <w:rPr>
                <w:spacing w:val="80"/>
                <w:sz w:val="20"/>
              </w:rPr>
              <w:t xml:space="preserve"> </w:t>
            </w:r>
            <w:r>
              <w:rPr>
                <w:spacing w:val="-2"/>
                <w:sz w:val="20"/>
              </w:rPr>
              <w:t xml:space="preserve">Rossi Sehgal </w:t>
            </w:r>
            <w:proofErr w:type="spellStart"/>
            <w:r>
              <w:rPr>
                <w:spacing w:val="-2"/>
                <w:sz w:val="20"/>
              </w:rPr>
              <w:t>Schembari</w:t>
            </w:r>
            <w:proofErr w:type="spellEnd"/>
            <w:r>
              <w:rPr>
                <w:spacing w:val="-2"/>
                <w:sz w:val="20"/>
              </w:rPr>
              <w:t xml:space="preserve"> Boorman Mansfield Bethune McDermott </w:t>
            </w:r>
            <w:r>
              <w:rPr>
                <w:spacing w:val="-4"/>
                <w:sz w:val="20"/>
              </w:rPr>
              <w:t xml:space="preserve">Keogh </w:t>
            </w:r>
          </w:p>
          <w:p w:rsidR="00C440EA" w:rsidRDefault="00C440EA" w:rsidP="00C440EA">
            <w:pPr>
              <w:pStyle w:val="TableParagraph"/>
              <w:spacing w:line="360" w:lineRule="auto"/>
              <w:ind w:left="544" w:right="539" w:firstLine="8"/>
              <w:jc w:val="center"/>
              <w:rPr>
                <w:sz w:val="20"/>
              </w:rPr>
            </w:pPr>
            <w:r>
              <w:rPr>
                <w:sz w:val="20"/>
              </w:rPr>
              <w:t>Creedon</w:t>
            </w:r>
          </w:p>
        </w:tc>
        <w:tc>
          <w:tcPr>
            <w:tcW w:w="2835"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1"/>
              <w:rPr>
                <w:rFonts w:ascii="Arial"/>
                <w:b/>
                <w:sz w:val="20"/>
              </w:rPr>
            </w:pPr>
          </w:p>
          <w:p w:rsidR="00A82110" w:rsidRDefault="00C440EA">
            <w:pPr>
              <w:pStyle w:val="TableParagraph"/>
              <w:ind w:left="9"/>
              <w:jc w:val="center"/>
              <w:rPr>
                <w:sz w:val="20"/>
              </w:rPr>
            </w:pPr>
            <w:r>
              <w:rPr>
                <w:spacing w:val="-2"/>
                <w:sz w:val="20"/>
              </w:rPr>
              <w:t>Colorectal</w:t>
            </w:r>
          </w:p>
        </w:tc>
        <w:tc>
          <w:tcPr>
            <w:tcW w:w="1419"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1"/>
              <w:rPr>
                <w:rFonts w:ascii="Arial"/>
                <w:b/>
                <w:sz w:val="20"/>
              </w:rPr>
            </w:pPr>
          </w:p>
          <w:p w:rsidR="00A82110" w:rsidRDefault="00C440EA">
            <w:pPr>
              <w:pStyle w:val="TableParagraph"/>
              <w:ind w:left="8"/>
              <w:jc w:val="center"/>
              <w:rPr>
                <w:sz w:val="20"/>
              </w:rPr>
            </w:pPr>
            <w:r>
              <w:rPr>
                <w:spacing w:val="-10"/>
                <w:sz w:val="20"/>
              </w:rPr>
              <w:t>7</w:t>
            </w:r>
          </w:p>
        </w:tc>
        <w:tc>
          <w:tcPr>
            <w:tcW w:w="1561"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1"/>
              <w:rPr>
                <w:rFonts w:ascii="Arial"/>
                <w:b/>
                <w:sz w:val="20"/>
              </w:rPr>
            </w:pPr>
          </w:p>
          <w:p w:rsidR="00A82110" w:rsidRDefault="00C440EA">
            <w:pPr>
              <w:pStyle w:val="TableParagraph"/>
              <w:ind w:left="9"/>
              <w:jc w:val="center"/>
              <w:rPr>
                <w:sz w:val="20"/>
              </w:rPr>
            </w:pPr>
            <w:r>
              <w:rPr>
                <w:spacing w:val="-10"/>
                <w:sz w:val="20"/>
              </w:rPr>
              <w:t>3</w:t>
            </w:r>
          </w:p>
        </w:tc>
        <w:tc>
          <w:tcPr>
            <w:tcW w:w="1383"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1"/>
              <w:rPr>
                <w:rFonts w:ascii="Arial"/>
                <w:b/>
                <w:sz w:val="20"/>
              </w:rPr>
            </w:pPr>
          </w:p>
          <w:p w:rsidR="00A82110" w:rsidRDefault="00C440EA">
            <w:pPr>
              <w:pStyle w:val="TableParagraph"/>
              <w:ind w:left="8"/>
              <w:jc w:val="center"/>
              <w:rPr>
                <w:sz w:val="20"/>
              </w:rPr>
            </w:pPr>
            <w:r>
              <w:rPr>
                <w:spacing w:val="-10"/>
                <w:sz w:val="20"/>
              </w:rPr>
              <w:t>6</w:t>
            </w:r>
          </w:p>
        </w:tc>
      </w:tr>
      <w:tr w:rsidR="00A82110">
        <w:trPr>
          <w:trHeight w:val="1725"/>
        </w:trPr>
        <w:tc>
          <w:tcPr>
            <w:tcW w:w="2126" w:type="dxa"/>
          </w:tcPr>
          <w:p w:rsidR="00A82110" w:rsidRDefault="00C440EA">
            <w:pPr>
              <w:pStyle w:val="TableParagraph"/>
              <w:spacing w:line="360" w:lineRule="auto"/>
              <w:ind w:left="594" w:right="584"/>
              <w:jc w:val="center"/>
              <w:rPr>
                <w:sz w:val="20"/>
              </w:rPr>
            </w:pPr>
            <w:r>
              <w:rPr>
                <w:spacing w:val="-2"/>
                <w:sz w:val="20"/>
              </w:rPr>
              <w:t>Ferguson Olsen Tillett Knight</w:t>
            </w:r>
          </w:p>
          <w:p w:rsidR="00A82110" w:rsidRDefault="00C440EA">
            <w:pPr>
              <w:pStyle w:val="TableParagraph"/>
              <w:ind w:left="558" w:right="554"/>
              <w:jc w:val="center"/>
              <w:rPr>
                <w:sz w:val="20"/>
              </w:rPr>
            </w:pPr>
            <w:r>
              <w:rPr>
                <w:spacing w:val="-4"/>
                <w:sz w:val="20"/>
              </w:rPr>
              <w:t>Ives</w:t>
            </w:r>
          </w:p>
        </w:tc>
        <w:tc>
          <w:tcPr>
            <w:tcW w:w="2835"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C440EA">
            <w:pPr>
              <w:pStyle w:val="TableParagraph"/>
              <w:ind w:left="9" w:right="2"/>
              <w:jc w:val="center"/>
              <w:rPr>
                <w:sz w:val="20"/>
              </w:rPr>
            </w:pPr>
            <w:r>
              <w:rPr>
                <w:sz w:val="20"/>
              </w:rPr>
              <w:t>Breast</w:t>
            </w:r>
            <w:r>
              <w:rPr>
                <w:spacing w:val="-6"/>
                <w:sz w:val="20"/>
              </w:rPr>
              <w:t xml:space="preserve"> </w:t>
            </w:r>
            <w:r>
              <w:rPr>
                <w:sz w:val="20"/>
              </w:rPr>
              <w:t>/</w:t>
            </w:r>
            <w:r>
              <w:rPr>
                <w:spacing w:val="-4"/>
                <w:sz w:val="20"/>
              </w:rPr>
              <w:t xml:space="preserve"> </w:t>
            </w:r>
            <w:r>
              <w:rPr>
                <w:sz w:val="20"/>
              </w:rPr>
              <w:t>Upper</w:t>
            </w:r>
            <w:r>
              <w:rPr>
                <w:spacing w:val="-6"/>
                <w:sz w:val="20"/>
              </w:rPr>
              <w:t xml:space="preserve"> </w:t>
            </w:r>
            <w:r>
              <w:rPr>
                <w:spacing w:val="-5"/>
                <w:sz w:val="20"/>
              </w:rPr>
              <w:t>GI</w:t>
            </w:r>
          </w:p>
        </w:tc>
        <w:tc>
          <w:tcPr>
            <w:tcW w:w="1419"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C440EA">
            <w:pPr>
              <w:pStyle w:val="TableParagraph"/>
              <w:ind w:left="8"/>
              <w:jc w:val="center"/>
              <w:rPr>
                <w:sz w:val="20"/>
              </w:rPr>
            </w:pPr>
            <w:r>
              <w:rPr>
                <w:spacing w:val="-10"/>
                <w:sz w:val="20"/>
              </w:rPr>
              <w:t>1</w:t>
            </w:r>
          </w:p>
        </w:tc>
        <w:tc>
          <w:tcPr>
            <w:tcW w:w="1561"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C440EA">
            <w:pPr>
              <w:pStyle w:val="TableParagraph"/>
              <w:ind w:left="9"/>
              <w:jc w:val="center"/>
              <w:rPr>
                <w:sz w:val="20"/>
              </w:rPr>
            </w:pPr>
            <w:r>
              <w:rPr>
                <w:spacing w:val="-10"/>
                <w:sz w:val="20"/>
              </w:rPr>
              <w:t>1</w:t>
            </w:r>
          </w:p>
        </w:tc>
        <w:tc>
          <w:tcPr>
            <w:tcW w:w="1383"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C440EA">
            <w:pPr>
              <w:pStyle w:val="TableParagraph"/>
              <w:ind w:left="8"/>
              <w:jc w:val="center"/>
              <w:rPr>
                <w:sz w:val="20"/>
              </w:rPr>
            </w:pPr>
            <w:r>
              <w:rPr>
                <w:spacing w:val="-10"/>
                <w:sz w:val="20"/>
              </w:rPr>
              <w:t>1</w:t>
            </w:r>
          </w:p>
        </w:tc>
      </w:tr>
      <w:tr w:rsidR="00A82110">
        <w:trPr>
          <w:trHeight w:val="2071"/>
        </w:trPr>
        <w:tc>
          <w:tcPr>
            <w:tcW w:w="2126" w:type="dxa"/>
          </w:tcPr>
          <w:p w:rsidR="00A82110" w:rsidRDefault="00C440EA">
            <w:pPr>
              <w:pStyle w:val="TableParagraph"/>
              <w:spacing w:line="360" w:lineRule="auto"/>
              <w:ind w:left="445" w:right="435"/>
              <w:jc w:val="center"/>
              <w:rPr>
                <w:sz w:val="20"/>
              </w:rPr>
            </w:pPr>
            <w:r>
              <w:rPr>
                <w:spacing w:val="-2"/>
                <w:sz w:val="20"/>
              </w:rPr>
              <w:t xml:space="preserve">Reece-Smith </w:t>
            </w:r>
            <w:proofErr w:type="spellStart"/>
            <w:r>
              <w:rPr>
                <w:spacing w:val="-2"/>
                <w:sz w:val="20"/>
              </w:rPr>
              <w:t>Wajed</w:t>
            </w:r>
            <w:proofErr w:type="spellEnd"/>
            <w:r>
              <w:rPr>
                <w:spacing w:val="-2"/>
                <w:sz w:val="20"/>
              </w:rPr>
              <w:t xml:space="preserve"> </w:t>
            </w:r>
            <w:proofErr w:type="spellStart"/>
            <w:r>
              <w:rPr>
                <w:spacing w:val="-2"/>
                <w:sz w:val="20"/>
              </w:rPr>
              <w:t>Manzelli</w:t>
            </w:r>
            <w:proofErr w:type="spellEnd"/>
          </w:p>
          <w:p w:rsidR="00A82110" w:rsidRDefault="00C440EA">
            <w:pPr>
              <w:pStyle w:val="TableParagraph"/>
              <w:spacing w:line="229" w:lineRule="exact"/>
              <w:ind w:left="558" w:right="551"/>
              <w:jc w:val="center"/>
              <w:rPr>
                <w:sz w:val="20"/>
              </w:rPr>
            </w:pPr>
            <w:r>
              <w:rPr>
                <w:sz w:val="20"/>
              </w:rPr>
              <w:t>Di</w:t>
            </w:r>
            <w:r>
              <w:rPr>
                <w:spacing w:val="-5"/>
                <w:sz w:val="20"/>
              </w:rPr>
              <w:t xml:space="preserve"> </w:t>
            </w:r>
            <w:r>
              <w:rPr>
                <w:spacing w:val="-2"/>
                <w:sz w:val="20"/>
              </w:rPr>
              <w:t>Mauro</w:t>
            </w:r>
          </w:p>
          <w:p w:rsidR="00A82110" w:rsidRDefault="00C440EA">
            <w:pPr>
              <w:pStyle w:val="TableParagraph"/>
              <w:spacing w:before="5" w:line="340" w:lineRule="atLeast"/>
              <w:ind w:left="796" w:right="785" w:hanging="2"/>
              <w:jc w:val="center"/>
              <w:rPr>
                <w:sz w:val="20"/>
              </w:rPr>
            </w:pPr>
            <w:r>
              <w:rPr>
                <w:spacing w:val="-4"/>
                <w:sz w:val="20"/>
              </w:rPr>
              <w:t xml:space="preserve">Lunt </w:t>
            </w:r>
            <w:r>
              <w:rPr>
                <w:spacing w:val="-2"/>
                <w:sz w:val="20"/>
              </w:rPr>
              <w:t>Jones</w:t>
            </w:r>
          </w:p>
        </w:tc>
        <w:tc>
          <w:tcPr>
            <w:tcW w:w="2835"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9" w:right="4"/>
              <w:jc w:val="center"/>
              <w:rPr>
                <w:sz w:val="20"/>
              </w:rPr>
            </w:pPr>
            <w:r>
              <w:rPr>
                <w:sz w:val="20"/>
              </w:rPr>
              <w:t>Upper</w:t>
            </w:r>
            <w:r>
              <w:rPr>
                <w:spacing w:val="-10"/>
                <w:sz w:val="20"/>
              </w:rPr>
              <w:t xml:space="preserve"> </w:t>
            </w:r>
            <w:r>
              <w:rPr>
                <w:spacing w:val="-5"/>
                <w:sz w:val="20"/>
              </w:rPr>
              <w:t>GI</w:t>
            </w:r>
          </w:p>
        </w:tc>
        <w:tc>
          <w:tcPr>
            <w:tcW w:w="1419"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8"/>
              <w:jc w:val="center"/>
              <w:rPr>
                <w:sz w:val="20"/>
              </w:rPr>
            </w:pPr>
            <w:r>
              <w:rPr>
                <w:spacing w:val="-10"/>
                <w:sz w:val="20"/>
              </w:rPr>
              <w:t>5</w:t>
            </w:r>
          </w:p>
        </w:tc>
        <w:tc>
          <w:tcPr>
            <w:tcW w:w="1561"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9"/>
              <w:jc w:val="center"/>
              <w:rPr>
                <w:sz w:val="20"/>
              </w:rPr>
            </w:pPr>
            <w:r>
              <w:rPr>
                <w:spacing w:val="-10"/>
                <w:sz w:val="20"/>
              </w:rPr>
              <w:t>3</w:t>
            </w:r>
          </w:p>
        </w:tc>
        <w:tc>
          <w:tcPr>
            <w:tcW w:w="1383" w:type="dxa"/>
          </w:tcPr>
          <w:p w:rsidR="00A82110" w:rsidRDefault="00A82110">
            <w:pPr>
              <w:pStyle w:val="TableParagraph"/>
              <w:rPr>
                <w:rFonts w:ascii="Arial"/>
                <w:b/>
                <w:sz w:val="20"/>
              </w:rPr>
            </w:pPr>
          </w:p>
          <w:p w:rsidR="00A82110" w:rsidRDefault="00A82110">
            <w:pPr>
              <w:pStyle w:val="TableParagraph"/>
              <w:rPr>
                <w:rFonts w:ascii="Arial"/>
                <w:b/>
                <w:sz w:val="20"/>
              </w:rPr>
            </w:pPr>
          </w:p>
          <w:p w:rsidR="00A82110" w:rsidRDefault="00A82110">
            <w:pPr>
              <w:pStyle w:val="TableParagraph"/>
              <w:spacing w:before="173"/>
              <w:rPr>
                <w:rFonts w:ascii="Arial"/>
                <w:b/>
                <w:sz w:val="20"/>
              </w:rPr>
            </w:pPr>
          </w:p>
          <w:p w:rsidR="00A82110" w:rsidRDefault="00C440EA">
            <w:pPr>
              <w:pStyle w:val="TableParagraph"/>
              <w:ind w:left="8"/>
              <w:jc w:val="center"/>
              <w:rPr>
                <w:sz w:val="20"/>
              </w:rPr>
            </w:pPr>
            <w:r>
              <w:rPr>
                <w:spacing w:val="-10"/>
                <w:sz w:val="20"/>
              </w:rPr>
              <w:t>3</w:t>
            </w:r>
          </w:p>
        </w:tc>
      </w:tr>
      <w:tr w:rsidR="00A82110">
        <w:trPr>
          <w:trHeight w:val="688"/>
        </w:trPr>
        <w:tc>
          <w:tcPr>
            <w:tcW w:w="2126" w:type="dxa"/>
            <w:shd w:val="clear" w:color="auto" w:fill="BEBEBE"/>
          </w:tcPr>
          <w:p w:rsidR="00A82110" w:rsidRDefault="00A82110">
            <w:pPr>
              <w:pStyle w:val="TableParagraph"/>
              <w:rPr>
                <w:rFonts w:ascii="Times New Roman"/>
                <w:sz w:val="20"/>
              </w:rPr>
            </w:pPr>
          </w:p>
        </w:tc>
        <w:tc>
          <w:tcPr>
            <w:tcW w:w="2835" w:type="dxa"/>
          </w:tcPr>
          <w:p w:rsidR="00A82110" w:rsidRDefault="00C440EA">
            <w:pPr>
              <w:pStyle w:val="TableParagraph"/>
              <w:spacing w:line="229" w:lineRule="exact"/>
              <w:ind w:left="9"/>
              <w:jc w:val="center"/>
              <w:rPr>
                <w:sz w:val="20"/>
              </w:rPr>
            </w:pPr>
            <w:r>
              <w:rPr>
                <w:sz w:val="20"/>
              </w:rPr>
              <w:t>Colorectal</w:t>
            </w:r>
            <w:r>
              <w:rPr>
                <w:spacing w:val="-11"/>
                <w:sz w:val="20"/>
              </w:rPr>
              <w:t xml:space="preserve"> </w:t>
            </w:r>
            <w:r>
              <w:rPr>
                <w:sz w:val="20"/>
              </w:rPr>
              <w:t>QI/SIM</w:t>
            </w:r>
            <w:r>
              <w:rPr>
                <w:spacing w:val="-9"/>
                <w:sz w:val="20"/>
              </w:rPr>
              <w:t xml:space="preserve"> </w:t>
            </w:r>
            <w:r>
              <w:rPr>
                <w:spacing w:val="-2"/>
                <w:sz w:val="20"/>
              </w:rPr>
              <w:t>posts</w:t>
            </w:r>
          </w:p>
          <w:p w:rsidR="00A82110" w:rsidRDefault="00C440EA">
            <w:pPr>
              <w:pStyle w:val="TableParagraph"/>
              <w:spacing w:before="115"/>
              <w:ind w:left="9" w:right="2"/>
              <w:jc w:val="center"/>
              <w:rPr>
                <w:sz w:val="20"/>
              </w:rPr>
            </w:pPr>
            <w:r>
              <w:rPr>
                <w:spacing w:val="-2"/>
                <w:sz w:val="20"/>
              </w:rPr>
              <w:t>(SHO)</w:t>
            </w:r>
          </w:p>
        </w:tc>
        <w:tc>
          <w:tcPr>
            <w:tcW w:w="1419" w:type="dxa"/>
          </w:tcPr>
          <w:p w:rsidR="00A82110" w:rsidRDefault="00C440EA">
            <w:pPr>
              <w:pStyle w:val="TableParagraph"/>
              <w:spacing w:before="172"/>
              <w:ind w:left="8"/>
              <w:jc w:val="center"/>
              <w:rPr>
                <w:sz w:val="20"/>
              </w:rPr>
            </w:pPr>
            <w:r>
              <w:rPr>
                <w:spacing w:val="-10"/>
                <w:sz w:val="20"/>
              </w:rPr>
              <w:t>0</w:t>
            </w:r>
          </w:p>
        </w:tc>
        <w:tc>
          <w:tcPr>
            <w:tcW w:w="1561" w:type="dxa"/>
          </w:tcPr>
          <w:p w:rsidR="00A82110" w:rsidRDefault="00C440EA">
            <w:pPr>
              <w:pStyle w:val="TableParagraph"/>
              <w:spacing w:before="172"/>
              <w:ind w:left="9"/>
              <w:jc w:val="center"/>
              <w:rPr>
                <w:sz w:val="20"/>
              </w:rPr>
            </w:pPr>
            <w:r>
              <w:rPr>
                <w:spacing w:val="-10"/>
                <w:sz w:val="20"/>
              </w:rPr>
              <w:t>4</w:t>
            </w:r>
          </w:p>
        </w:tc>
        <w:tc>
          <w:tcPr>
            <w:tcW w:w="1383" w:type="dxa"/>
            <w:shd w:val="clear" w:color="auto" w:fill="BEBEBE"/>
          </w:tcPr>
          <w:p w:rsidR="00A82110" w:rsidRDefault="00A82110">
            <w:pPr>
              <w:pStyle w:val="TableParagraph"/>
              <w:rPr>
                <w:rFonts w:ascii="Times New Roman"/>
                <w:sz w:val="20"/>
              </w:rPr>
            </w:pPr>
          </w:p>
        </w:tc>
      </w:tr>
    </w:tbl>
    <w:p w:rsidR="00A82110" w:rsidRDefault="00A82110">
      <w:pPr>
        <w:pStyle w:val="TableParagraph"/>
        <w:rPr>
          <w:rFonts w:ascii="Times New Roman"/>
          <w:sz w:val="20"/>
        </w:rPr>
        <w:sectPr w:rsidR="00A82110">
          <w:pgSz w:w="11910" w:h="16840"/>
          <w:pgMar w:top="1540" w:right="850" w:bottom="940" w:left="1559" w:header="0" w:footer="754" w:gutter="0"/>
          <w:cols w:space="720"/>
        </w:sectPr>
      </w:pPr>
    </w:p>
    <w:p w:rsidR="00A82110" w:rsidRDefault="00C440EA">
      <w:pPr>
        <w:pStyle w:val="Heading2"/>
        <w:spacing w:before="65"/>
        <w:rPr>
          <w:u w:val="none"/>
        </w:rPr>
      </w:pPr>
      <w:r>
        <w:lastRenderedPageBreak/>
        <w:t>General</w:t>
      </w:r>
      <w:r>
        <w:rPr>
          <w:spacing w:val="-7"/>
        </w:rPr>
        <w:t xml:space="preserve"> </w:t>
      </w:r>
      <w:r>
        <w:rPr>
          <w:spacing w:val="-2"/>
        </w:rPr>
        <w:t>Information</w:t>
      </w:r>
    </w:p>
    <w:p w:rsidR="00A82110" w:rsidRDefault="00C440EA">
      <w:pPr>
        <w:pStyle w:val="BodyText"/>
        <w:spacing w:before="126" w:line="360" w:lineRule="auto"/>
        <w:ind w:left="239" w:right="432"/>
        <w:jc w:val="both"/>
      </w:pPr>
      <w:r>
        <w:t>The Terms and Conditions of Employment (including those related to leave and sick pay) are in accordance with the nationally agreed Terms and Conditions of Service of Hospital Medical and Dental Staff (England and Wales) and General Whitley Council Conditions of Service currently in force and as amended from time to time.</w:t>
      </w:r>
    </w:p>
    <w:p w:rsidR="00A82110" w:rsidRDefault="00A82110">
      <w:pPr>
        <w:pStyle w:val="BodyText"/>
        <w:spacing w:before="128"/>
      </w:pPr>
    </w:p>
    <w:p w:rsidR="00A82110" w:rsidRDefault="00C440EA">
      <w:pPr>
        <w:pStyle w:val="Heading2"/>
        <w:rPr>
          <w:u w:val="none"/>
        </w:rPr>
      </w:pPr>
      <w:r>
        <w:rPr>
          <w:spacing w:val="-2"/>
        </w:rPr>
        <w:t>Salary</w:t>
      </w:r>
    </w:p>
    <w:p w:rsidR="00A82110" w:rsidRDefault="00C440EA">
      <w:pPr>
        <w:pStyle w:val="BodyText"/>
        <w:spacing w:before="126"/>
        <w:ind w:left="239"/>
        <w:jc w:val="both"/>
      </w:pPr>
      <w:r>
        <w:t>Basic</w:t>
      </w:r>
      <w:r>
        <w:rPr>
          <w:spacing w:val="-3"/>
        </w:rPr>
        <w:t xml:space="preserve"> </w:t>
      </w:r>
      <w:proofErr w:type="gramStart"/>
      <w:r>
        <w:t>Salary;</w:t>
      </w:r>
      <w:r>
        <w:rPr>
          <w:spacing w:val="56"/>
        </w:rPr>
        <w:t xml:space="preserve">  </w:t>
      </w:r>
      <w:r>
        <w:t>£</w:t>
      </w:r>
      <w:proofErr w:type="gramEnd"/>
      <w:r>
        <w:t>52,656</w:t>
      </w:r>
      <w:r>
        <w:rPr>
          <w:spacing w:val="-6"/>
        </w:rPr>
        <w:t xml:space="preserve"> </w:t>
      </w:r>
      <w:r>
        <w:t>(pro-</w:t>
      </w:r>
      <w:r>
        <w:rPr>
          <w:spacing w:val="-4"/>
        </w:rPr>
        <w:t>rata)</w:t>
      </w:r>
    </w:p>
    <w:p w:rsidR="00A82110" w:rsidRDefault="00A82110">
      <w:pPr>
        <w:pStyle w:val="BodyText"/>
        <w:spacing w:before="252"/>
      </w:pPr>
    </w:p>
    <w:p w:rsidR="00A82110" w:rsidRDefault="00C440EA">
      <w:pPr>
        <w:ind w:left="239"/>
        <w:jc w:val="both"/>
      </w:pPr>
      <w:r>
        <w:rPr>
          <w:rFonts w:ascii="Arial"/>
          <w:b/>
        </w:rPr>
        <w:t>Date</w:t>
      </w:r>
      <w:r>
        <w:rPr>
          <w:rFonts w:ascii="Arial"/>
          <w:b/>
          <w:spacing w:val="-2"/>
        </w:rPr>
        <w:t xml:space="preserve"> </w:t>
      </w:r>
      <w:r>
        <w:rPr>
          <w:rFonts w:ascii="Arial"/>
          <w:b/>
        </w:rPr>
        <w:t>of</w:t>
      </w:r>
      <w:r>
        <w:rPr>
          <w:rFonts w:ascii="Arial"/>
          <w:b/>
          <w:spacing w:val="-3"/>
        </w:rPr>
        <w:t xml:space="preserve"> </w:t>
      </w:r>
      <w:r>
        <w:rPr>
          <w:rFonts w:ascii="Arial"/>
          <w:b/>
        </w:rPr>
        <w:t>vacancy</w:t>
      </w:r>
      <w:r>
        <w:t>:</w:t>
      </w:r>
      <w:r>
        <w:rPr>
          <w:spacing w:val="-1"/>
        </w:rPr>
        <w:t xml:space="preserve"> </w:t>
      </w:r>
      <w:r>
        <w:t>August 2026-August 2027</w:t>
      </w:r>
    </w:p>
    <w:p w:rsidR="00A82110" w:rsidRDefault="00A82110">
      <w:pPr>
        <w:pStyle w:val="BodyText"/>
      </w:pPr>
    </w:p>
    <w:p w:rsidR="00A82110" w:rsidRDefault="00A82110">
      <w:pPr>
        <w:pStyle w:val="BodyText"/>
      </w:pPr>
    </w:p>
    <w:p w:rsidR="00A82110" w:rsidRDefault="00C440EA">
      <w:pPr>
        <w:pStyle w:val="Heading2"/>
        <w:rPr>
          <w:u w:val="none"/>
        </w:rPr>
      </w:pPr>
      <w:r>
        <w:t>Academic</w:t>
      </w:r>
      <w:r>
        <w:rPr>
          <w:spacing w:val="-6"/>
        </w:rPr>
        <w:t xml:space="preserve"> </w:t>
      </w:r>
      <w:r>
        <w:rPr>
          <w:spacing w:val="-2"/>
        </w:rPr>
        <w:t>facilities</w:t>
      </w:r>
    </w:p>
    <w:p w:rsidR="00A82110" w:rsidRDefault="00C440EA">
      <w:pPr>
        <w:pStyle w:val="BodyText"/>
        <w:spacing w:before="127" w:line="360" w:lineRule="auto"/>
        <w:ind w:left="239" w:right="434"/>
        <w:jc w:val="both"/>
      </w:pPr>
      <w:r>
        <w:t>The</w:t>
      </w:r>
      <w:r>
        <w:rPr>
          <w:spacing w:val="-3"/>
        </w:rPr>
        <w:t xml:space="preserve"> </w:t>
      </w:r>
      <w:r>
        <w:t>Postgraduate</w:t>
      </w:r>
      <w:r>
        <w:rPr>
          <w:spacing w:val="-3"/>
        </w:rPr>
        <w:t xml:space="preserve"> </w:t>
      </w:r>
      <w:r>
        <w:t>Medical</w:t>
      </w:r>
      <w:r>
        <w:rPr>
          <w:spacing w:val="-2"/>
        </w:rPr>
        <w:t xml:space="preserve"> </w:t>
      </w:r>
      <w:r>
        <w:t>School</w:t>
      </w:r>
      <w:r>
        <w:rPr>
          <w:spacing w:val="-2"/>
        </w:rPr>
        <w:t xml:space="preserve"> </w:t>
      </w:r>
      <w:r>
        <w:t>of the</w:t>
      </w:r>
      <w:r>
        <w:rPr>
          <w:spacing w:val="-3"/>
        </w:rPr>
        <w:t xml:space="preserve"> </w:t>
      </w:r>
      <w:r>
        <w:t>University</w:t>
      </w:r>
      <w:r>
        <w:rPr>
          <w:spacing w:val="-2"/>
        </w:rPr>
        <w:t xml:space="preserve"> </w:t>
      </w:r>
      <w:r>
        <w:t>of Exeter, which is based</w:t>
      </w:r>
      <w:r>
        <w:rPr>
          <w:spacing w:val="-1"/>
        </w:rPr>
        <w:t xml:space="preserve"> </w:t>
      </w:r>
      <w:r>
        <w:t>on</w:t>
      </w:r>
      <w:r>
        <w:rPr>
          <w:spacing w:val="-3"/>
        </w:rPr>
        <w:t xml:space="preserve"> </w:t>
      </w:r>
      <w:r>
        <w:t>the</w:t>
      </w:r>
      <w:r>
        <w:rPr>
          <w:spacing w:val="-1"/>
        </w:rPr>
        <w:t xml:space="preserve"> </w:t>
      </w:r>
      <w:r>
        <w:t>RD&amp;E site, was the first Postgraduate Institute of its kind in a university outside London.</w:t>
      </w:r>
      <w:r>
        <w:rPr>
          <w:spacing w:val="40"/>
        </w:rPr>
        <w:t xml:space="preserve"> </w:t>
      </w:r>
      <w:r>
        <w:t xml:space="preserve">The research and educational activities are of the highest </w:t>
      </w:r>
      <w:proofErr w:type="spellStart"/>
      <w:r>
        <w:t>calibre</w:t>
      </w:r>
      <w:proofErr w:type="spellEnd"/>
      <w:r>
        <w:t xml:space="preserve"> as evidenced by the Queen’s Anniversary Prize for higher and further education awarded to the University of Exeter, reflecting</w:t>
      </w:r>
      <w:r>
        <w:rPr>
          <w:spacing w:val="-1"/>
        </w:rPr>
        <w:t xml:space="preserve"> </w:t>
      </w:r>
      <w:r>
        <w:t>the</w:t>
      </w:r>
      <w:r>
        <w:rPr>
          <w:spacing w:val="-1"/>
        </w:rPr>
        <w:t xml:space="preserve"> </w:t>
      </w:r>
      <w:r>
        <w:t>work of</w:t>
      </w:r>
      <w:r>
        <w:rPr>
          <w:spacing w:val="-2"/>
        </w:rPr>
        <w:t xml:space="preserve"> </w:t>
      </w:r>
      <w:r>
        <w:t>the</w:t>
      </w:r>
      <w:r>
        <w:rPr>
          <w:spacing w:val="-3"/>
        </w:rPr>
        <w:t xml:space="preserve"> </w:t>
      </w:r>
      <w:r>
        <w:t>School</w:t>
      </w:r>
      <w:r>
        <w:rPr>
          <w:spacing w:val="-2"/>
        </w:rPr>
        <w:t xml:space="preserve"> </w:t>
      </w:r>
      <w:r>
        <w:t>in</w:t>
      </w:r>
      <w:r>
        <w:rPr>
          <w:spacing w:val="-1"/>
        </w:rPr>
        <w:t xml:space="preserve"> </w:t>
      </w:r>
      <w:r>
        <w:t>1996</w:t>
      </w:r>
      <w:r>
        <w:rPr>
          <w:spacing w:val="-1"/>
        </w:rPr>
        <w:t xml:space="preserve"> </w:t>
      </w:r>
      <w:r>
        <w:t>and</w:t>
      </w:r>
      <w:r>
        <w:rPr>
          <w:spacing w:val="-1"/>
        </w:rPr>
        <w:t xml:space="preserve"> </w:t>
      </w:r>
      <w:r>
        <w:t>the</w:t>
      </w:r>
      <w:r>
        <w:rPr>
          <w:spacing w:val="-3"/>
        </w:rPr>
        <w:t xml:space="preserve"> </w:t>
      </w:r>
      <w:r>
        <w:t>award of the</w:t>
      </w:r>
      <w:r>
        <w:rPr>
          <w:spacing w:val="-1"/>
        </w:rPr>
        <w:t xml:space="preserve"> </w:t>
      </w:r>
      <w:r>
        <w:t>highest numerical</w:t>
      </w:r>
      <w:r>
        <w:rPr>
          <w:spacing w:val="-4"/>
        </w:rPr>
        <w:t xml:space="preserve"> </w:t>
      </w:r>
      <w:r>
        <w:t>grade</w:t>
      </w:r>
      <w:r>
        <w:rPr>
          <w:spacing w:val="-1"/>
        </w:rPr>
        <w:t xml:space="preserve"> </w:t>
      </w:r>
      <w:r>
        <w:t>5 in the</w:t>
      </w:r>
      <w:r>
        <w:rPr>
          <w:spacing w:val="-1"/>
        </w:rPr>
        <w:t xml:space="preserve"> </w:t>
      </w:r>
      <w:r>
        <w:t>1996</w:t>
      </w:r>
      <w:r>
        <w:rPr>
          <w:spacing w:val="-1"/>
        </w:rPr>
        <w:t xml:space="preserve"> </w:t>
      </w:r>
      <w:r>
        <w:t>Research Assessment Exercise</w:t>
      </w:r>
      <w:r>
        <w:rPr>
          <w:spacing w:val="-1"/>
        </w:rPr>
        <w:t xml:space="preserve"> </w:t>
      </w:r>
      <w:r>
        <w:t>under the</w:t>
      </w:r>
      <w:r>
        <w:rPr>
          <w:spacing w:val="-1"/>
        </w:rPr>
        <w:t xml:space="preserve"> </w:t>
      </w:r>
      <w:r>
        <w:t>Hospital</w:t>
      </w:r>
      <w:r>
        <w:rPr>
          <w:spacing w:val="-1"/>
        </w:rPr>
        <w:t xml:space="preserve"> </w:t>
      </w:r>
      <w:r>
        <w:t>based</w:t>
      </w:r>
      <w:r>
        <w:rPr>
          <w:spacing w:val="-1"/>
        </w:rPr>
        <w:t xml:space="preserve"> </w:t>
      </w:r>
      <w:r>
        <w:t>clinical</w:t>
      </w:r>
      <w:r>
        <w:rPr>
          <w:spacing w:val="-1"/>
        </w:rPr>
        <w:t xml:space="preserve"> </w:t>
      </w:r>
      <w:proofErr w:type="gramStart"/>
      <w:r>
        <w:t>subjects</w:t>
      </w:r>
      <w:proofErr w:type="gramEnd"/>
      <w:r>
        <w:t xml:space="preserve"> unit of </w:t>
      </w:r>
      <w:r>
        <w:rPr>
          <w:spacing w:val="-2"/>
        </w:rPr>
        <w:t>assessment.</w:t>
      </w:r>
    </w:p>
    <w:p w:rsidR="00A82110" w:rsidRDefault="00A82110">
      <w:pPr>
        <w:pStyle w:val="BodyText"/>
        <w:spacing w:before="23"/>
      </w:pPr>
    </w:p>
    <w:p w:rsidR="00A82110" w:rsidRDefault="00C440EA">
      <w:pPr>
        <w:pStyle w:val="BodyText"/>
        <w:spacing w:line="360" w:lineRule="auto"/>
        <w:ind w:left="239" w:right="427"/>
        <w:jc w:val="both"/>
      </w:pPr>
      <w:r>
        <w:t>The school is currently being expanded and restructured into three main divisions comprising:</w:t>
      </w:r>
      <w:r>
        <w:rPr>
          <w:spacing w:val="40"/>
        </w:rPr>
        <w:t xml:space="preserve"> </w:t>
      </w:r>
      <w:r>
        <w:t xml:space="preserve">Clinical (biomedical) science, and interdepartmental initiative linking basic scientists and clinical scientists; Community health sciences; and an Education Division embracing primary and secondary care, medical and allied professional education and </w:t>
      </w:r>
      <w:r>
        <w:rPr>
          <w:spacing w:val="-2"/>
        </w:rPr>
        <w:t>training.</w:t>
      </w:r>
    </w:p>
    <w:p w:rsidR="00A82110" w:rsidRDefault="00A82110">
      <w:pPr>
        <w:pStyle w:val="BodyText"/>
        <w:spacing w:before="25"/>
      </w:pPr>
    </w:p>
    <w:p w:rsidR="00A82110" w:rsidRDefault="00C440EA">
      <w:pPr>
        <w:pStyle w:val="BodyText"/>
        <w:spacing w:line="360" w:lineRule="auto"/>
        <w:ind w:left="239" w:right="432"/>
        <w:jc w:val="both"/>
      </w:pPr>
      <w:r>
        <w:t xml:space="preserve">The Clinical Science Division embraces 8 key </w:t>
      </w:r>
      <w:proofErr w:type="spellStart"/>
      <w:r>
        <w:t>centres</w:t>
      </w:r>
      <w:proofErr w:type="spellEnd"/>
      <w:r>
        <w:t xml:space="preserve"> or units: Cancer Cell and Molecular Biology; Histopathology; Medical Physics; Clinical Microvascular Research; Molecular Genetics; Biological</w:t>
      </w:r>
      <w:r>
        <w:rPr>
          <w:spacing w:val="-3"/>
        </w:rPr>
        <w:t xml:space="preserve"> </w:t>
      </w:r>
      <w:r>
        <w:t>Chemistry;</w:t>
      </w:r>
      <w:r>
        <w:rPr>
          <w:spacing w:val="-2"/>
        </w:rPr>
        <w:t xml:space="preserve"> </w:t>
      </w:r>
      <w:r>
        <w:t>Clinical</w:t>
      </w:r>
      <w:r>
        <w:rPr>
          <w:spacing w:val="-3"/>
        </w:rPr>
        <w:t xml:space="preserve"> </w:t>
      </w:r>
      <w:r>
        <w:t>Physiological</w:t>
      </w:r>
      <w:r>
        <w:rPr>
          <w:spacing w:val="-3"/>
        </w:rPr>
        <w:t xml:space="preserve"> </w:t>
      </w:r>
      <w:r>
        <w:t>Measurement and</w:t>
      </w:r>
      <w:r>
        <w:rPr>
          <w:spacing w:val="-4"/>
        </w:rPr>
        <w:t xml:space="preserve"> </w:t>
      </w:r>
      <w:r>
        <w:t>Exercise</w:t>
      </w:r>
      <w:r>
        <w:rPr>
          <w:spacing w:val="-2"/>
        </w:rPr>
        <w:t xml:space="preserve"> </w:t>
      </w:r>
      <w:r>
        <w:t>Science. The Community Health</w:t>
      </w:r>
      <w:r>
        <w:rPr>
          <w:spacing w:val="-1"/>
        </w:rPr>
        <w:t xml:space="preserve"> </w:t>
      </w:r>
      <w:r>
        <w:t>Division involves the Institute of General Practice; Complementary Medicine; Mental Health; The Centre for Evidence based social care; Child Health; The Institute of Population Studies.</w:t>
      </w:r>
    </w:p>
    <w:p w:rsidR="00A82110" w:rsidRDefault="00A82110">
      <w:pPr>
        <w:pStyle w:val="BodyText"/>
        <w:spacing w:before="22"/>
      </w:pPr>
    </w:p>
    <w:p w:rsidR="00A82110" w:rsidRDefault="00C440EA">
      <w:pPr>
        <w:pStyle w:val="BodyText"/>
        <w:spacing w:line="360" w:lineRule="auto"/>
        <w:ind w:left="239" w:right="434"/>
        <w:jc w:val="both"/>
      </w:pPr>
      <w:r>
        <w:t>In addition to these main divisions the school is subcontracted by the Trust to provide a research and development support unit funded by the</w:t>
      </w:r>
      <w:r>
        <w:rPr>
          <w:spacing w:val="-1"/>
        </w:rPr>
        <w:t xml:space="preserve"> </w:t>
      </w:r>
      <w:r>
        <w:t xml:space="preserve">regional directorate of research and development to facilitate NHS R&amp;D and the implementation of </w:t>
      </w:r>
      <w:proofErr w:type="gramStart"/>
      <w:r>
        <w:t>evidence based</w:t>
      </w:r>
      <w:proofErr w:type="gramEnd"/>
      <w:r>
        <w:t xml:space="preserve"> practice in the</w:t>
      </w:r>
      <w:r>
        <w:rPr>
          <w:spacing w:val="66"/>
        </w:rPr>
        <w:t xml:space="preserve"> </w:t>
      </w:r>
      <w:r>
        <w:t>surrounding</w:t>
      </w:r>
      <w:r>
        <w:rPr>
          <w:spacing w:val="64"/>
        </w:rPr>
        <w:t xml:space="preserve"> </w:t>
      </w:r>
      <w:r>
        <w:t>geographical</w:t>
      </w:r>
      <w:r>
        <w:rPr>
          <w:spacing w:val="66"/>
        </w:rPr>
        <w:t xml:space="preserve"> </w:t>
      </w:r>
      <w:r>
        <w:t>area.</w:t>
      </w:r>
      <w:r>
        <w:rPr>
          <w:spacing w:val="63"/>
        </w:rPr>
        <w:t xml:space="preserve"> </w:t>
      </w:r>
      <w:r>
        <w:t>The</w:t>
      </w:r>
      <w:r>
        <w:rPr>
          <w:spacing w:val="66"/>
        </w:rPr>
        <w:t xml:space="preserve"> </w:t>
      </w:r>
      <w:r>
        <w:t>school</w:t>
      </w:r>
      <w:r>
        <w:rPr>
          <w:spacing w:val="66"/>
        </w:rPr>
        <w:t xml:space="preserve"> </w:t>
      </w:r>
      <w:r>
        <w:t>currently</w:t>
      </w:r>
      <w:r>
        <w:rPr>
          <w:spacing w:val="65"/>
        </w:rPr>
        <w:t xml:space="preserve"> </w:t>
      </w:r>
      <w:r>
        <w:t>has</w:t>
      </w:r>
      <w:r>
        <w:rPr>
          <w:spacing w:val="67"/>
        </w:rPr>
        <w:t xml:space="preserve"> </w:t>
      </w:r>
      <w:r>
        <w:t>42</w:t>
      </w:r>
      <w:r>
        <w:rPr>
          <w:spacing w:val="64"/>
        </w:rPr>
        <w:t xml:space="preserve"> </w:t>
      </w:r>
      <w:r>
        <w:t>members</w:t>
      </w:r>
      <w:r>
        <w:rPr>
          <w:spacing w:val="65"/>
        </w:rPr>
        <w:t xml:space="preserve"> </w:t>
      </w:r>
      <w:r>
        <w:t>of</w:t>
      </w:r>
      <w:r>
        <w:rPr>
          <w:spacing w:val="68"/>
        </w:rPr>
        <w:t xml:space="preserve"> </w:t>
      </w:r>
      <w:r>
        <w:t>senior</w:t>
      </w:r>
    </w:p>
    <w:p w:rsidR="00A82110" w:rsidRDefault="00A82110">
      <w:pPr>
        <w:pStyle w:val="BodyText"/>
        <w:spacing w:line="360" w:lineRule="auto"/>
        <w:jc w:val="both"/>
        <w:sectPr w:rsidR="00A82110">
          <w:pgSz w:w="11910" w:h="16840"/>
          <w:pgMar w:top="1520" w:right="850" w:bottom="940" w:left="1559" w:header="0" w:footer="754" w:gutter="0"/>
          <w:cols w:space="720"/>
        </w:sectPr>
      </w:pPr>
    </w:p>
    <w:p w:rsidR="00A82110" w:rsidRDefault="00C440EA">
      <w:pPr>
        <w:pStyle w:val="BodyText"/>
        <w:spacing w:before="79" w:line="360" w:lineRule="auto"/>
        <w:ind w:left="239" w:right="437"/>
        <w:jc w:val="both"/>
      </w:pPr>
      <w:r>
        <w:lastRenderedPageBreak/>
        <w:t>academic</w:t>
      </w:r>
      <w:r>
        <w:rPr>
          <w:spacing w:val="-1"/>
        </w:rPr>
        <w:t xml:space="preserve"> </w:t>
      </w:r>
      <w:r>
        <w:t>staff, with chairs in</w:t>
      </w:r>
      <w:r>
        <w:rPr>
          <w:spacing w:val="-2"/>
        </w:rPr>
        <w:t xml:space="preserve"> </w:t>
      </w:r>
      <w:r>
        <w:t>General</w:t>
      </w:r>
      <w:r>
        <w:rPr>
          <w:spacing w:val="-1"/>
        </w:rPr>
        <w:t xml:space="preserve"> </w:t>
      </w:r>
      <w:r>
        <w:t>Practice, Clinical</w:t>
      </w:r>
      <w:r>
        <w:rPr>
          <w:spacing w:val="-1"/>
        </w:rPr>
        <w:t xml:space="preserve"> </w:t>
      </w:r>
      <w:r>
        <w:t>Histopathology, Vascular Medicine and Complementary Medicine and Readerships in Vascular Physiology and medicine.</w:t>
      </w:r>
    </w:p>
    <w:p w:rsidR="00A82110" w:rsidRDefault="00A82110">
      <w:pPr>
        <w:pStyle w:val="BodyText"/>
        <w:spacing w:before="23"/>
      </w:pPr>
    </w:p>
    <w:p w:rsidR="00A82110" w:rsidRDefault="00C440EA">
      <w:pPr>
        <w:pStyle w:val="BodyText"/>
        <w:spacing w:line="360" w:lineRule="auto"/>
        <w:ind w:left="239" w:right="433"/>
        <w:jc w:val="both"/>
      </w:pPr>
      <w:r>
        <w:t>The Postgraduate Medical School and Postgraduate Medical Centre occupy buildings to the North West of the hospital site.</w:t>
      </w:r>
      <w:r>
        <w:rPr>
          <w:spacing w:val="40"/>
        </w:rPr>
        <w:t xml:space="preserve"> </w:t>
      </w:r>
      <w:r>
        <w:t>Facilities include seminar rooms, meeting rooms, a lecture theatre and a library as well as biomedical science laboratories.</w:t>
      </w:r>
    </w:p>
    <w:p w:rsidR="00A82110" w:rsidRDefault="00A82110">
      <w:pPr>
        <w:pStyle w:val="BodyText"/>
        <w:spacing w:before="127"/>
      </w:pPr>
    </w:p>
    <w:p w:rsidR="00A82110" w:rsidRDefault="00C440EA">
      <w:pPr>
        <w:pStyle w:val="Heading2"/>
        <w:spacing w:before="1"/>
        <w:rPr>
          <w:u w:val="none"/>
        </w:rPr>
      </w:pPr>
      <w:r>
        <w:t>Disclosure</w:t>
      </w:r>
      <w:r>
        <w:rPr>
          <w:spacing w:val="-7"/>
        </w:rPr>
        <w:t xml:space="preserve"> </w:t>
      </w:r>
      <w:r>
        <w:t>of</w:t>
      </w:r>
      <w:r>
        <w:rPr>
          <w:spacing w:val="-7"/>
        </w:rPr>
        <w:t xml:space="preserve"> </w:t>
      </w:r>
      <w:r>
        <w:t>Criminal</w:t>
      </w:r>
      <w:r>
        <w:rPr>
          <w:spacing w:val="-7"/>
        </w:rPr>
        <w:t xml:space="preserve"> </w:t>
      </w:r>
      <w:r>
        <w:rPr>
          <w:spacing w:val="-2"/>
        </w:rPr>
        <w:t>Background</w:t>
      </w:r>
    </w:p>
    <w:p w:rsidR="00A82110" w:rsidRDefault="00C440EA">
      <w:pPr>
        <w:pStyle w:val="BodyText"/>
        <w:spacing w:before="126" w:line="360" w:lineRule="auto"/>
        <w:ind w:left="239" w:right="432"/>
        <w:jc w:val="both"/>
      </w:pPr>
      <w:r>
        <w:t>This position is exempt from the Rehabilitation of Offenders Act 1974.</w:t>
      </w:r>
      <w:r>
        <w:rPr>
          <w:spacing w:val="80"/>
        </w:rPr>
        <w:t xml:space="preserve"> </w:t>
      </w:r>
      <w:r>
        <w:t>This means that you must declare all criminal convictions, including those that you would otherwise be considered “spent”.</w:t>
      </w:r>
    </w:p>
    <w:p w:rsidR="00A82110" w:rsidRDefault="00A82110">
      <w:pPr>
        <w:pStyle w:val="BodyText"/>
        <w:spacing w:before="126"/>
      </w:pPr>
    </w:p>
    <w:p w:rsidR="00A82110" w:rsidRDefault="00C440EA">
      <w:pPr>
        <w:pStyle w:val="BodyText"/>
        <w:spacing w:line="360" w:lineRule="auto"/>
        <w:ind w:left="239" w:right="430"/>
        <w:jc w:val="both"/>
      </w:pPr>
      <w:r>
        <w:t>Where the appointment involves substantial access to children and /or vulnerable adults, the appointment is subject to a police check.</w:t>
      </w:r>
      <w:r>
        <w:rPr>
          <w:spacing w:val="79"/>
        </w:rPr>
        <w:t xml:space="preserve"> </w:t>
      </w:r>
      <w:r>
        <w:t>The Criminal Records Bureau will be asked to verify that you have no convictions and cautions or pending prosecutions, convictions, cautions and bind-over orders.</w:t>
      </w:r>
      <w:r>
        <w:rPr>
          <w:spacing w:val="40"/>
        </w:rPr>
        <w:t xml:space="preserve"> </w:t>
      </w:r>
      <w:r>
        <w:t>This will include local police force records in addition to checks with the Police National Computer and the government departments lists held by the Department of Health for Education and Employment, where appropriate.</w:t>
      </w:r>
    </w:p>
    <w:p w:rsidR="00A82110" w:rsidRDefault="00A82110">
      <w:pPr>
        <w:pStyle w:val="BodyText"/>
        <w:spacing w:before="127"/>
      </w:pPr>
    </w:p>
    <w:p w:rsidR="00A82110" w:rsidRDefault="00C440EA">
      <w:pPr>
        <w:pStyle w:val="BodyText"/>
        <w:spacing w:line="360" w:lineRule="auto"/>
        <w:ind w:left="239" w:right="439"/>
        <w:jc w:val="both"/>
      </w:pPr>
      <w:r>
        <w:t>Police</w:t>
      </w:r>
      <w:r>
        <w:rPr>
          <w:spacing w:val="-3"/>
        </w:rPr>
        <w:t xml:space="preserve"> </w:t>
      </w:r>
      <w:r>
        <w:t>checks</w:t>
      </w:r>
      <w:r>
        <w:rPr>
          <w:spacing w:val="-5"/>
        </w:rPr>
        <w:t xml:space="preserve"> </w:t>
      </w:r>
      <w:r>
        <w:t>will</w:t>
      </w:r>
      <w:r>
        <w:rPr>
          <w:spacing w:val="-3"/>
        </w:rPr>
        <w:t xml:space="preserve"> </w:t>
      </w:r>
      <w:r>
        <w:t>only</w:t>
      </w:r>
      <w:r>
        <w:rPr>
          <w:spacing w:val="-5"/>
        </w:rPr>
        <w:t xml:space="preserve"> </w:t>
      </w:r>
      <w:r>
        <w:t>be</w:t>
      </w:r>
      <w:r>
        <w:rPr>
          <w:spacing w:val="-3"/>
        </w:rPr>
        <w:t xml:space="preserve"> </w:t>
      </w:r>
      <w:r>
        <w:t>requested</w:t>
      </w:r>
      <w:r>
        <w:rPr>
          <w:spacing w:val="-5"/>
        </w:rPr>
        <w:t xml:space="preserve"> </w:t>
      </w:r>
      <w:r>
        <w:t>for</w:t>
      </w:r>
      <w:r>
        <w:rPr>
          <w:spacing w:val="-2"/>
        </w:rPr>
        <w:t xml:space="preserve"> </w:t>
      </w:r>
      <w:r>
        <w:t>candidates</w:t>
      </w:r>
      <w:r>
        <w:rPr>
          <w:spacing w:val="-3"/>
        </w:rPr>
        <w:t xml:space="preserve"> </w:t>
      </w:r>
      <w:r>
        <w:t>recommended</w:t>
      </w:r>
      <w:r>
        <w:rPr>
          <w:spacing w:val="-5"/>
        </w:rPr>
        <w:t xml:space="preserve"> </w:t>
      </w:r>
      <w:r>
        <w:t>for</w:t>
      </w:r>
      <w:r>
        <w:rPr>
          <w:spacing w:val="-2"/>
        </w:rPr>
        <w:t xml:space="preserve"> </w:t>
      </w:r>
      <w:r>
        <w:t>appointment</w:t>
      </w:r>
      <w:r>
        <w:rPr>
          <w:spacing w:val="-4"/>
        </w:rPr>
        <w:t xml:space="preserve"> </w:t>
      </w:r>
      <w:r>
        <w:t>and</w:t>
      </w:r>
      <w:r>
        <w:rPr>
          <w:spacing w:val="-3"/>
        </w:rPr>
        <w:t xml:space="preserve"> </w:t>
      </w:r>
      <w:r>
        <w:t>will be carried out by the employing Trust.</w:t>
      </w:r>
    </w:p>
    <w:p w:rsidR="00A82110" w:rsidRDefault="00A82110">
      <w:pPr>
        <w:pStyle w:val="BodyText"/>
        <w:spacing w:before="126"/>
      </w:pPr>
    </w:p>
    <w:p w:rsidR="00A82110" w:rsidRDefault="00C440EA">
      <w:pPr>
        <w:pStyle w:val="Heading2"/>
        <w:rPr>
          <w:u w:val="none"/>
        </w:rPr>
      </w:pPr>
      <w:r>
        <w:t>Medical</w:t>
      </w:r>
      <w:r>
        <w:rPr>
          <w:spacing w:val="-6"/>
        </w:rPr>
        <w:t xml:space="preserve"> </w:t>
      </w:r>
      <w:r>
        <w:rPr>
          <w:spacing w:val="-2"/>
        </w:rPr>
        <w:t>Clearance</w:t>
      </w:r>
    </w:p>
    <w:p w:rsidR="00A82110" w:rsidRDefault="00C440EA">
      <w:pPr>
        <w:pStyle w:val="BodyText"/>
        <w:spacing w:before="129" w:line="360" w:lineRule="auto"/>
        <w:ind w:left="239" w:right="436"/>
        <w:jc w:val="both"/>
      </w:pPr>
      <w:r>
        <w:t>Offers of employment to the rotation will be subject to satisfactory medical clearance including Hepatitis B status.</w:t>
      </w:r>
    </w:p>
    <w:p w:rsidR="00A82110" w:rsidRDefault="00A82110">
      <w:pPr>
        <w:pStyle w:val="BodyText"/>
        <w:spacing w:before="125"/>
      </w:pPr>
    </w:p>
    <w:p w:rsidR="00A82110" w:rsidRDefault="00C440EA">
      <w:pPr>
        <w:pStyle w:val="BodyText"/>
        <w:spacing w:line="360" w:lineRule="auto"/>
        <w:ind w:left="239" w:right="435"/>
        <w:jc w:val="both"/>
      </w:pPr>
      <w:r>
        <w:t>Medical checks will only be requested for candidates recommended for appointment and will be carried out by the employing Trust.</w:t>
      </w:r>
    </w:p>
    <w:p w:rsidR="00A82110" w:rsidRDefault="00A82110">
      <w:pPr>
        <w:pStyle w:val="BodyText"/>
        <w:spacing w:before="126"/>
      </w:pPr>
    </w:p>
    <w:p w:rsidR="00A82110" w:rsidRDefault="00C440EA">
      <w:pPr>
        <w:pStyle w:val="Heading2"/>
        <w:rPr>
          <w:u w:val="none"/>
        </w:rPr>
      </w:pPr>
      <w:r>
        <w:t>Rehabilitation</w:t>
      </w:r>
      <w:r>
        <w:rPr>
          <w:spacing w:val="-6"/>
        </w:rPr>
        <w:t xml:space="preserve"> </w:t>
      </w:r>
      <w:r>
        <w:t>of</w:t>
      </w:r>
      <w:r>
        <w:rPr>
          <w:spacing w:val="-4"/>
        </w:rPr>
        <w:t xml:space="preserve"> </w:t>
      </w:r>
      <w:r>
        <w:rPr>
          <w:spacing w:val="-2"/>
        </w:rPr>
        <w:t>offenders</w:t>
      </w:r>
    </w:p>
    <w:p w:rsidR="00A82110" w:rsidRDefault="00C440EA">
      <w:pPr>
        <w:pStyle w:val="BodyText"/>
        <w:spacing w:before="126" w:line="360" w:lineRule="auto"/>
        <w:ind w:left="239" w:right="436"/>
        <w:jc w:val="both"/>
      </w:pPr>
      <w:r>
        <w:t>This post is not protected by the Rehabilitation of Offenders Act 1974.</w:t>
      </w:r>
      <w:r>
        <w:rPr>
          <w:spacing w:val="40"/>
        </w:rPr>
        <w:t xml:space="preserve"> </w:t>
      </w:r>
      <w:r>
        <w:t>You must disclose all information about all convictions (if any) in a court of law, no matter when they</w:t>
      </w:r>
      <w:r>
        <w:rPr>
          <w:spacing w:val="40"/>
        </w:rPr>
        <w:t xml:space="preserve"> </w:t>
      </w:r>
      <w:r>
        <w:t>occurred.</w:t>
      </w:r>
      <w:r>
        <w:rPr>
          <w:spacing w:val="40"/>
        </w:rPr>
        <w:t xml:space="preserve"> </w:t>
      </w:r>
      <w:r>
        <w:t>This information will be treated in the strictest of confidence.</w:t>
      </w:r>
    </w:p>
    <w:p w:rsidR="00A82110" w:rsidRDefault="00A82110">
      <w:pPr>
        <w:pStyle w:val="BodyText"/>
        <w:spacing w:before="128"/>
      </w:pPr>
    </w:p>
    <w:p w:rsidR="00A82110" w:rsidRDefault="00C440EA">
      <w:pPr>
        <w:pStyle w:val="Heading2"/>
        <w:spacing w:before="1"/>
        <w:rPr>
          <w:u w:val="none"/>
        </w:rPr>
      </w:pPr>
      <w:r>
        <w:t>Access</w:t>
      </w:r>
      <w:r>
        <w:rPr>
          <w:spacing w:val="-4"/>
        </w:rPr>
        <w:t xml:space="preserve"> </w:t>
      </w:r>
      <w:r>
        <w:t>to</w:t>
      </w:r>
      <w:r>
        <w:rPr>
          <w:spacing w:val="-4"/>
        </w:rPr>
        <w:t xml:space="preserve"> </w:t>
      </w:r>
      <w:r>
        <w:rPr>
          <w:spacing w:val="-2"/>
        </w:rPr>
        <w:t>children</w:t>
      </w:r>
    </w:p>
    <w:p w:rsidR="00A82110" w:rsidRDefault="00C440EA">
      <w:pPr>
        <w:pStyle w:val="BodyText"/>
        <w:spacing w:before="126" w:line="360" w:lineRule="auto"/>
        <w:ind w:left="239" w:right="438"/>
        <w:jc w:val="both"/>
      </w:pPr>
      <w:r>
        <w:t>The person appointed to this post may have access to children, under the provisions of Joint Circular No. HS (88) 9 HOC8/88</w:t>
      </w:r>
      <w:r>
        <w:rPr>
          <w:spacing w:val="-2"/>
        </w:rPr>
        <w:t xml:space="preserve"> </w:t>
      </w:r>
      <w:r>
        <w:t>WHC (88)10.</w:t>
      </w:r>
      <w:r>
        <w:rPr>
          <w:spacing w:val="74"/>
        </w:rPr>
        <w:t xml:space="preserve"> </w:t>
      </w:r>
      <w:r>
        <w:t>Applicants are therefore advised that</w:t>
      </w:r>
    </w:p>
    <w:p w:rsidR="00A82110" w:rsidRDefault="00A82110">
      <w:pPr>
        <w:pStyle w:val="BodyText"/>
        <w:spacing w:line="360" w:lineRule="auto"/>
        <w:jc w:val="both"/>
        <w:sectPr w:rsidR="00A82110">
          <w:pgSz w:w="11910" w:h="16840"/>
          <w:pgMar w:top="1160" w:right="850" w:bottom="940" w:left="1559" w:header="0" w:footer="754" w:gutter="0"/>
          <w:cols w:space="720"/>
        </w:sectPr>
      </w:pPr>
    </w:p>
    <w:p w:rsidR="00A82110" w:rsidRDefault="00C440EA">
      <w:pPr>
        <w:pStyle w:val="BodyText"/>
        <w:spacing w:before="79" w:line="360" w:lineRule="auto"/>
        <w:ind w:left="239" w:right="427"/>
        <w:jc w:val="both"/>
      </w:pPr>
      <w:r>
        <w:lastRenderedPageBreak/>
        <w:t>in the event that your appointment is recommended you will be asked to complete a form disclosing any convictions, bind-over orders or cautions and to give permission in writing for</w:t>
      </w:r>
      <w:r>
        <w:rPr>
          <w:spacing w:val="-1"/>
        </w:rPr>
        <w:t xml:space="preserve"> </w:t>
      </w:r>
      <w:r>
        <w:t>a</w:t>
      </w:r>
      <w:r>
        <w:rPr>
          <w:spacing w:val="-3"/>
        </w:rPr>
        <w:t xml:space="preserve"> </w:t>
      </w:r>
      <w:r>
        <w:t>policy</w:t>
      </w:r>
      <w:r>
        <w:rPr>
          <w:spacing w:val="-3"/>
        </w:rPr>
        <w:t xml:space="preserve"> </w:t>
      </w:r>
      <w:r>
        <w:t>check</w:t>
      </w:r>
      <w:r>
        <w:rPr>
          <w:spacing w:val="-1"/>
        </w:rPr>
        <w:t xml:space="preserve"> </w:t>
      </w:r>
      <w:r>
        <w:t>to</w:t>
      </w:r>
      <w:r>
        <w:rPr>
          <w:spacing w:val="-3"/>
        </w:rPr>
        <w:t xml:space="preserve"> </w:t>
      </w:r>
      <w:r>
        <w:t>be</w:t>
      </w:r>
      <w:r>
        <w:rPr>
          <w:spacing w:val="-2"/>
        </w:rPr>
        <w:t xml:space="preserve"> </w:t>
      </w:r>
      <w:r>
        <w:t>carried</w:t>
      </w:r>
      <w:r>
        <w:rPr>
          <w:spacing w:val="-2"/>
        </w:rPr>
        <w:t xml:space="preserve"> </w:t>
      </w:r>
      <w:r>
        <w:t>out.</w:t>
      </w:r>
      <w:r>
        <w:rPr>
          <w:spacing w:val="40"/>
        </w:rPr>
        <w:t xml:space="preserve"> </w:t>
      </w:r>
      <w:r>
        <w:t>Refusal</w:t>
      </w:r>
      <w:r>
        <w:rPr>
          <w:spacing w:val="-4"/>
        </w:rPr>
        <w:t xml:space="preserve"> </w:t>
      </w:r>
      <w:r>
        <w:t>to</w:t>
      </w:r>
      <w:r>
        <w:rPr>
          <w:spacing w:val="-2"/>
        </w:rPr>
        <w:t xml:space="preserve"> </w:t>
      </w:r>
      <w:r>
        <w:t>do</w:t>
      </w:r>
      <w:r>
        <w:rPr>
          <w:spacing w:val="-3"/>
        </w:rPr>
        <w:t xml:space="preserve"> </w:t>
      </w:r>
      <w:r>
        <w:t>so</w:t>
      </w:r>
      <w:r>
        <w:rPr>
          <w:spacing w:val="-2"/>
        </w:rPr>
        <w:t xml:space="preserve"> </w:t>
      </w:r>
      <w:r>
        <w:t>could</w:t>
      </w:r>
      <w:r>
        <w:rPr>
          <w:spacing w:val="-2"/>
        </w:rPr>
        <w:t xml:space="preserve"> </w:t>
      </w:r>
      <w:r>
        <w:t>prevent</w:t>
      </w:r>
      <w:r>
        <w:rPr>
          <w:spacing w:val="-2"/>
        </w:rPr>
        <w:t xml:space="preserve"> </w:t>
      </w:r>
      <w:r>
        <w:t>further</w:t>
      </w:r>
      <w:r>
        <w:rPr>
          <w:spacing w:val="-2"/>
        </w:rPr>
        <w:t xml:space="preserve"> </w:t>
      </w:r>
      <w:r>
        <w:t>consideration of the application.</w:t>
      </w:r>
      <w:r>
        <w:rPr>
          <w:spacing w:val="40"/>
        </w:rPr>
        <w:t xml:space="preserve"> </w:t>
      </w:r>
      <w:r>
        <w:t xml:space="preserve">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be </w:t>
      </w:r>
      <w:proofErr w:type="gramStart"/>
      <w:r>
        <w:t>taken into account</w:t>
      </w:r>
      <w:proofErr w:type="gramEnd"/>
      <w:r>
        <w:t xml:space="preserve"> in deciding whether to engage an applicant.</w:t>
      </w:r>
    </w:p>
    <w:p w:rsidR="00A82110" w:rsidRDefault="00A82110">
      <w:pPr>
        <w:pStyle w:val="BodyText"/>
        <w:spacing w:before="127"/>
      </w:pPr>
    </w:p>
    <w:p w:rsidR="00A82110" w:rsidRDefault="00C440EA">
      <w:pPr>
        <w:pStyle w:val="Heading2"/>
        <w:jc w:val="both"/>
        <w:rPr>
          <w:u w:val="none"/>
        </w:rPr>
      </w:pPr>
      <w:r>
        <w:t>Data</w:t>
      </w:r>
      <w:r>
        <w:rPr>
          <w:spacing w:val="-7"/>
        </w:rPr>
        <w:t xml:space="preserve"> </w:t>
      </w:r>
      <w:r>
        <w:t>protection</w:t>
      </w:r>
      <w:r>
        <w:rPr>
          <w:spacing w:val="-5"/>
        </w:rPr>
        <w:t xml:space="preserve"> </w:t>
      </w:r>
      <w:r>
        <w:t>act</w:t>
      </w:r>
      <w:r>
        <w:rPr>
          <w:spacing w:val="-4"/>
        </w:rPr>
        <w:t xml:space="preserve"> 1998</w:t>
      </w:r>
    </w:p>
    <w:p w:rsidR="00A82110" w:rsidRDefault="00C440EA">
      <w:pPr>
        <w:pStyle w:val="BodyText"/>
        <w:spacing w:before="126" w:line="360" w:lineRule="auto"/>
        <w:ind w:left="239" w:right="435"/>
        <w:jc w:val="both"/>
      </w:pPr>
      <w:r>
        <w:t>Candidates are informed that the information given by them in application for the post will be used only for the recruitment and selection purposes.</w:t>
      </w:r>
      <w:r>
        <w:rPr>
          <w:spacing w:val="80"/>
        </w:rPr>
        <w:t xml:space="preserve"> </w:t>
      </w:r>
      <w:r>
        <w:t>For successful candidates this will then form part of their personal file, and for unsuccessful candidates the information</w:t>
      </w:r>
      <w:r>
        <w:rPr>
          <w:spacing w:val="40"/>
        </w:rPr>
        <w:t xml:space="preserve"> </w:t>
      </w:r>
      <w:r>
        <w:t>will be destroyed.</w:t>
      </w:r>
      <w:r>
        <w:rPr>
          <w:spacing w:val="80"/>
        </w:rPr>
        <w:t xml:space="preserve"> </w:t>
      </w:r>
      <w:r>
        <w:t>The information is stored both in hard copy and minimally on a database.</w:t>
      </w:r>
      <w:r>
        <w:rPr>
          <w:spacing w:val="40"/>
        </w:rPr>
        <w:t xml:space="preserve"> </w:t>
      </w:r>
      <w:r>
        <w:t>This information is held and administered in line with the Data Protection Act and the Trust’s confidentiality procedure.</w:t>
      </w:r>
    </w:p>
    <w:p w:rsidR="00A82110" w:rsidRDefault="00A82110">
      <w:pPr>
        <w:pStyle w:val="BodyText"/>
        <w:spacing w:before="127"/>
      </w:pPr>
    </w:p>
    <w:p w:rsidR="00A82110" w:rsidRDefault="00C440EA">
      <w:pPr>
        <w:pStyle w:val="Heading2"/>
        <w:spacing w:before="1"/>
        <w:jc w:val="both"/>
        <w:rPr>
          <w:u w:val="none"/>
        </w:rPr>
      </w:pPr>
      <w:r>
        <w:t>Further</w:t>
      </w:r>
      <w:r>
        <w:rPr>
          <w:spacing w:val="-4"/>
        </w:rPr>
        <w:t xml:space="preserve"> </w:t>
      </w:r>
      <w:r>
        <w:rPr>
          <w:spacing w:val="-2"/>
        </w:rPr>
        <w:t>information</w:t>
      </w:r>
    </w:p>
    <w:p w:rsidR="00A82110" w:rsidRDefault="00A82110">
      <w:pPr>
        <w:pStyle w:val="BodyText"/>
        <w:spacing w:before="252"/>
        <w:rPr>
          <w:rFonts w:ascii="Arial"/>
          <w:b/>
        </w:rPr>
      </w:pPr>
    </w:p>
    <w:p w:rsidR="00A82110" w:rsidRDefault="00C440EA">
      <w:pPr>
        <w:pStyle w:val="BodyText"/>
        <w:ind w:left="239"/>
      </w:pPr>
      <w:r>
        <w:t>The</w:t>
      </w:r>
      <w:r>
        <w:rPr>
          <w:spacing w:val="-11"/>
        </w:rPr>
        <w:t xml:space="preserve"> </w:t>
      </w:r>
      <w:r>
        <w:t>Trust</w:t>
      </w:r>
      <w:r>
        <w:rPr>
          <w:spacing w:val="-3"/>
        </w:rPr>
        <w:t xml:space="preserve"> </w:t>
      </w:r>
      <w:r>
        <w:t>welcomes</w:t>
      </w:r>
      <w:r>
        <w:rPr>
          <w:spacing w:val="-3"/>
        </w:rPr>
        <w:t xml:space="preserve"> </w:t>
      </w:r>
      <w:r>
        <w:t>informal</w:t>
      </w:r>
      <w:r>
        <w:rPr>
          <w:spacing w:val="-5"/>
        </w:rPr>
        <w:t xml:space="preserve"> </w:t>
      </w:r>
      <w:r>
        <w:t>enquiries;</w:t>
      </w:r>
      <w:r>
        <w:rPr>
          <w:spacing w:val="-5"/>
        </w:rPr>
        <w:t xml:space="preserve"> </w:t>
      </w:r>
      <w:r>
        <w:t>the</w:t>
      </w:r>
      <w:r>
        <w:rPr>
          <w:spacing w:val="-6"/>
        </w:rPr>
        <w:t xml:space="preserve"> </w:t>
      </w:r>
      <w:r>
        <w:t>relevant</w:t>
      </w:r>
      <w:r>
        <w:rPr>
          <w:spacing w:val="-2"/>
        </w:rPr>
        <w:t xml:space="preserve"> </w:t>
      </w:r>
      <w:r>
        <w:t>people</w:t>
      </w:r>
      <w:r>
        <w:rPr>
          <w:spacing w:val="-6"/>
        </w:rPr>
        <w:t xml:space="preserve"> </w:t>
      </w:r>
      <w:r>
        <w:t>to</w:t>
      </w:r>
      <w:r>
        <w:rPr>
          <w:spacing w:val="-6"/>
        </w:rPr>
        <w:t xml:space="preserve"> </w:t>
      </w:r>
      <w:r>
        <w:t>speak</w:t>
      </w:r>
      <w:r>
        <w:rPr>
          <w:spacing w:val="-3"/>
        </w:rPr>
        <w:t xml:space="preserve"> </w:t>
      </w:r>
      <w:r>
        <w:t>to</w:t>
      </w:r>
      <w:r>
        <w:rPr>
          <w:spacing w:val="-4"/>
        </w:rPr>
        <w:t xml:space="preserve"> </w:t>
      </w:r>
      <w:r>
        <w:t>are</w:t>
      </w:r>
      <w:r>
        <w:rPr>
          <w:spacing w:val="-4"/>
        </w:rPr>
        <w:t xml:space="preserve"> </w:t>
      </w:r>
      <w:r>
        <w:t>as</w:t>
      </w:r>
      <w:r>
        <w:rPr>
          <w:spacing w:val="-5"/>
        </w:rPr>
        <w:t xml:space="preserve"> </w:t>
      </w:r>
      <w:r>
        <w:rPr>
          <w:spacing w:val="-2"/>
        </w:rPr>
        <w:t>follows:</w:t>
      </w:r>
    </w:p>
    <w:p w:rsidR="00A82110" w:rsidRDefault="00A82110">
      <w:pPr>
        <w:pStyle w:val="BodyText"/>
      </w:pPr>
    </w:p>
    <w:p w:rsidR="00A82110" w:rsidRDefault="00A82110">
      <w:pPr>
        <w:pStyle w:val="BodyText"/>
        <w:spacing w:before="2"/>
      </w:pPr>
    </w:p>
    <w:p w:rsidR="00A82110" w:rsidRDefault="00C440EA">
      <w:pPr>
        <w:pStyle w:val="BodyText"/>
        <w:tabs>
          <w:tab w:val="left" w:pos="3119"/>
        </w:tabs>
        <w:spacing w:line="360" w:lineRule="auto"/>
        <w:ind w:left="3119" w:right="3869" w:hanging="2881"/>
      </w:pPr>
      <w:r>
        <w:t>Adverting Manager</w:t>
      </w:r>
      <w:r>
        <w:tab/>
      </w:r>
      <w:proofErr w:type="spellStart"/>
      <w:r>
        <w:t>Mrs</w:t>
      </w:r>
      <w:proofErr w:type="spellEnd"/>
      <w:r>
        <w:t xml:space="preserve"> Alexandra Hall Surgery</w:t>
      </w:r>
      <w:r>
        <w:rPr>
          <w:spacing w:val="-16"/>
        </w:rPr>
        <w:t xml:space="preserve"> </w:t>
      </w:r>
      <w:r>
        <w:t>Rota</w:t>
      </w:r>
      <w:r>
        <w:rPr>
          <w:spacing w:val="-15"/>
        </w:rPr>
        <w:t xml:space="preserve"> </w:t>
      </w:r>
      <w:r>
        <w:t>Coordinator</w:t>
      </w:r>
    </w:p>
    <w:p w:rsidR="00A82110" w:rsidRDefault="00A82110">
      <w:pPr>
        <w:pStyle w:val="BodyText"/>
        <w:spacing w:before="126"/>
      </w:pPr>
    </w:p>
    <w:p w:rsidR="00A82110" w:rsidRDefault="00C440EA">
      <w:pPr>
        <w:pStyle w:val="BodyText"/>
        <w:ind w:left="3119"/>
      </w:pPr>
      <w:r>
        <w:t>Email:</w:t>
      </w:r>
      <w:r>
        <w:rPr>
          <w:spacing w:val="-4"/>
        </w:rPr>
        <w:t xml:space="preserve"> </w:t>
      </w:r>
      <w:hyperlink r:id="rId8">
        <w:r>
          <w:rPr>
            <w:spacing w:val="-2"/>
          </w:rPr>
          <w:t>rduh.surgeryrotamanager@nhs.net</w:t>
        </w:r>
      </w:hyperlink>
    </w:p>
    <w:sectPr w:rsidR="00A82110">
      <w:pgSz w:w="11910" w:h="16840"/>
      <w:pgMar w:top="1160" w:right="850" w:bottom="940" w:left="1559"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EB2" w:rsidRDefault="00C440EA">
      <w:r>
        <w:separator/>
      </w:r>
    </w:p>
  </w:endnote>
  <w:endnote w:type="continuationSeparator" w:id="0">
    <w:p w:rsidR="008D7EB2" w:rsidRDefault="00C4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110" w:rsidRDefault="00C440EA">
    <w:pPr>
      <w:pStyle w:val="BodyText"/>
      <w:spacing w:line="14" w:lineRule="auto"/>
      <w:rPr>
        <w:sz w:val="20"/>
      </w:rPr>
    </w:pPr>
    <w:r>
      <w:rPr>
        <w:noProof/>
        <w:sz w:val="20"/>
      </w:rPr>
      <mc:AlternateContent>
        <mc:Choice Requires="wps">
          <w:drawing>
            <wp:anchor distT="0" distB="0" distL="0" distR="0" simplePos="0" relativeHeight="487425536" behindDoc="1" locked="0" layoutInCell="1" allowOverlap="1">
              <wp:simplePos x="0" y="0"/>
              <wp:positionH relativeFrom="page">
                <wp:posOffset>3865498</wp:posOffset>
              </wp:positionH>
              <wp:positionV relativeFrom="page">
                <wp:posOffset>10073916</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A82110" w:rsidRDefault="00C440EA">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4.35pt;margin-top:793.2pt;width:13.15pt;height:14.35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" filled="f" stroked="f">
              <v:textbox inset="0,0,0,0">
                <w:txbxContent>
                  <w:p w:rsidR="00A82110" w:rsidRDefault="00C440EA">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EB2" w:rsidRDefault="00C440EA">
      <w:r>
        <w:separator/>
      </w:r>
    </w:p>
  </w:footnote>
  <w:footnote w:type="continuationSeparator" w:id="0">
    <w:p w:rsidR="008D7EB2" w:rsidRDefault="00C44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10"/>
    <w:rsid w:val="00255E9C"/>
    <w:rsid w:val="00662E55"/>
    <w:rsid w:val="008D7EB2"/>
    <w:rsid w:val="00A82110"/>
    <w:rsid w:val="00C44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EA1D"/>
  <w15:docId w15:val="{4191CFB4-006C-4354-B463-06ED9C73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4" w:right="253"/>
      <w:jc w:val="center"/>
      <w:outlineLvl w:val="0"/>
    </w:pPr>
    <w:rPr>
      <w:rFonts w:ascii="Arial" w:eastAsia="Arial" w:hAnsi="Arial" w:cs="Arial"/>
      <w:b/>
      <w:bCs/>
      <w:sz w:val="38"/>
      <w:szCs w:val="38"/>
    </w:rPr>
  </w:style>
  <w:style w:type="paragraph" w:styleId="Heading2">
    <w:name w:val="heading 2"/>
    <w:basedOn w:val="Normal"/>
    <w:uiPriority w:val="9"/>
    <w:unhideWhenUsed/>
    <w:qFormat/>
    <w:pPr>
      <w:ind w:left="239"/>
      <w:outlineLvl w:val="1"/>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duh.surgeryrotamanager@nhs.ne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nsquires</dc:creator>
  <cp:lastModifiedBy>WALTERS, Jersie-Jae (ROYAL DEVON UNIVERSITY HEALTHCARE NHS FOUNDATION TRUST)</cp:lastModifiedBy>
  <cp:revision>2</cp:revision>
  <dcterms:created xsi:type="dcterms:W3CDTF">2026-04-23T15:33:00Z</dcterms:created>
  <dcterms:modified xsi:type="dcterms:W3CDTF">2026-04-23T15:33:00Z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2025-03-24T00:00:00Z</vt:filetime>
  </property>
  <property fmtid="{D5CDD505-2E9C-101B-9397-08002B2CF9AE}" pid="4" name="Creator">
    <vt:lpwstr>Microsoft® Word 2019</vt:lpwstr>
  </property>
  <property fmtid="{D5CDD505-2E9C-101B-9397-08002B2CF9AE}" pid="5" name="LastSaved">
    <vt:filetime>2026-04-20T00:00:00Z</vt:filetime>
  </property>
  <property fmtid="{D5CDD505-2E9C-101B-9397-08002B2CF9AE}" pid="6" name="Producer">
    <vt:lpwstr>Microsoft® Word 2019</vt:lpwstr>
  </property>
</Properties>
</file>