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3572"/>
        <w:gridCol w:w="5556"/>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E258E5">
        <w:tc>
          <w:tcPr>
            <w:tcW w:w="3572"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556"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E258E5">
        <w:tc>
          <w:tcPr>
            <w:tcW w:w="3572"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556"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E258E5">
        <w:tc>
          <w:tcPr>
            <w:tcW w:w="3572"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556"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E258E5">
        <w:tc>
          <w:tcPr>
            <w:tcW w:w="3572"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556" w:type="dxa"/>
          </w:tcPr>
          <w:p w:rsidR="00213541" w:rsidRPr="00F607B2" w:rsidRDefault="00D56E0D" w:rsidP="00F607B2">
            <w:pPr>
              <w:jc w:val="both"/>
              <w:rPr>
                <w:rFonts w:ascii="Arial" w:hAnsi="Arial" w:cs="Arial"/>
                <w:color w:val="FF0000"/>
              </w:rPr>
            </w:pPr>
            <w:r>
              <w:rPr>
                <w:rFonts w:ascii="Arial" w:hAnsi="Arial" w:cs="Arial"/>
              </w:rPr>
              <w:t xml:space="preserve">Medical Division </w:t>
            </w:r>
            <w:r w:rsidR="00E258E5">
              <w:rPr>
                <w:rFonts w:ascii="Arial" w:hAnsi="Arial" w:cs="Arial"/>
              </w:rPr>
              <w:t>–</w:t>
            </w:r>
            <w:r>
              <w:rPr>
                <w:rFonts w:ascii="Arial" w:hAnsi="Arial" w:cs="Arial"/>
              </w:rPr>
              <w:t xml:space="preserve"> </w:t>
            </w:r>
            <w:r w:rsidR="00E258E5">
              <w:rPr>
                <w:rFonts w:ascii="Arial" w:hAnsi="Arial" w:cs="Arial"/>
              </w:rPr>
              <w:t>Gastroenterology &amp; Hepatology</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Pr="00F0104C">
              <w:rPr>
                <w:rFonts w:ascii="Arial" w:hAnsi="Arial" w:cs="Arial"/>
              </w:rPr>
              <w:t>Service Coordinators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proofErr w:type="gramStart"/>
            <w:r w:rsidRPr="00A04624">
              <w:rPr>
                <w:rFonts w:ascii="Arial" w:hAnsi="Arial" w:cs="Arial"/>
              </w:rPr>
              <w:t>high quality</w:t>
            </w:r>
            <w:proofErr w:type="gramEnd"/>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lastRenderedPageBreak/>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B42B9" w:rsidRDefault="00FB42B9" w:rsidP="00F607B2">
      <w:pPr>
        <w:spacing w:after="0" w:line="240" w:lineRule="auto"/>
        <w:jc w:val="both"/>
        <w:rPr>
          <w:rFonts w:ascii="Arial" w:hAnsi="Arial" w:cs="Arial"/>
        </w:rPr>
      </w:pPr>
    </w:p>
    <w:p w:rsidR="004F243E" w:rsidRDefault="004F243E">
      <w:pPr>
        <w:rPr>
          <w:rFonts w:ascii="Arial" w:hAnsi="Arial" w:cs="Arial"/>
        </w:rPr>
      </w:pPr>
      <w:r>
        <w:rPr>
          <w:rFonts w:ascii="Arial" w:hAnsi="Arial" w:cs="Arial"/>
        </w:rPr>
        <w:br w:type="page"/>
      </w: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w:t>
            </w:r>
            <w:r w:rsidR="00304EA6">
              <w:rPr>
                <w:rFonts w:ascii="Arial" w:hAnsi="Arial" w:cs="Arial"/>
              </w:rPr>
              <w:t xml:space="preserve"> experience</w:t>
            </w:r>
            <w:r>
              <w:rPr>
                <w:rFonts w:ascii="Arial" w:hAnsi="Arial" w:cs="Arial"/>
              </w:rPr>
              <w:t xml:space="preserve"> in Maths and English</w:t>
            </w:r>
            <w:bookmarkStart w:id="0" w:name="_GoBack"/>
            <w:bookmarkEnd w:id="0"/>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lastRenderedPageBreak/>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6CD" w:rsidRDefault="00E536CD" w:rsidP="008D6EE5">
      <w:pPr>
        <w:spacing w:after="0" w:line="240" w:lineRule="auto"/>
      </w:pPr>
      <w:r>
        <w:separator/>
      </w:r>
    </w:p>
  </w:endnote>
  <w:endnote w:type="continuationSeparator" w:id="0">
    <w:p w:rsidR="00E536CD" w:rsidRDefault="00E536C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6CD" w:rsidRDefault="00E536CD" w:rsidP="008D6EE5">
      <w:pPr>
        <w:spacing w:after="0" w:line="240" w:lineRule="auto"/>
      </w:pPr>
      <w:r>
        <w:separator/>
      </w:r>
    </w:p>
  </w:footnote>
  <w:footnote w:type="continuationSeparator" w:id="0">
    <w:p w:rsidR="00E536CD" w:rsidRDefault="00E536C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Header"/>
    </w:pP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2D93"/>
    <w:rsid w:val="00213541"/>
    <w:rsid w:val="00271CBB"/>
    <w:rsid w:val="002C2146"/>
    <w:rsid w:val="00304EA6"/>
    <w:rsid w:val="003B04AD"/>
    <w:rsid w:val="003B43F4"/>
    <w:rsid w:val="003B4C1F"/>
    <w:rsid w:val="003C5A3F"/>
    <w:rsid w:val="00431F44"/>
    <w:rsid w:val="004733A7"/>
    <w:rsid w:val="00495863"/>
    <w:rsid w:val="004A2793"/>
    <w:rsid w:val="004F243E"/>
    <w:rsid w:val="004F7CE0"/>
    <w:rsid w:val="005033D7"/>
    <w:rsid w:val="00531696"/>
    <w:rsid w:val="005776BB"/>
    <w:rsid w:val="005F5196"/>
    <w:rsid w:val="00615705"/>
    <w:rsid w:val="006C38CB"/>
    <w:rsid w:val="006F4F61"/>
    <w:rsid w:val="006F5D1E"/>
    <w:rsid w:val="00701BDE"/>
    <w:rsid w:val="00722BF9"/>
    <w:rsid w:val="007767DD"/>
    <w:rsid w:val="0079132F"/>
    <w:rsid w:val="007B321A"/>
    <w:rsid w:val="00832933"/>
    <w:rsid w:val="00863ED6"/>
    <w:rsid w:val="0087013E"/>
    <w:rsid w:val="008915B6"/>
    <w:rsid w:val="008D6EE5"/>
    <w:rsid w:val="009A2853"/>
    <w:rsid w:val="009C3599"/>
    <w:rsid w:val="009D0DEA"/>
    <w:rsid w:val="00A04624"/>
    <w:rsid w:val="00A1395C"/>
    <w:rsid w:val="00A400B0"/>
    <w:rsid w:val="00A852BF"/>
    <w:rsid w:val="00A95BA6"/>
    <w:rsid w:val="00AA386D"/>
    <w:rsid w:val="00AC177C"/>
    <w:rsid w:val="00AE43BA"/>
    <w:rsid w:val="00B01003"/>
    <w:rsid w:val="00BF126B"/>
    <w:rsid w:val="00C9206A"/>
    <w:rsid w:val="00CC2F4E"/>
    <w:rsid w:val="00D244DD"/>
    <w:rsid w:val="00D44AB0"/>
    <w:rsid w:val="00D56E0D"/>
    <w:rsid w:val="00D85E27"/>
    <w:rsid w:val="00E06039"/>
    <w:rsid w:val="00E258E5"/>
    <w:rsid w:val="00E35E30"/>
    <w:rsid w:val="00E536CD"/>
    <w:rsid w:val="00EB70B9"/>
    <w:rsid w:val="00EC5A7D"/>
    <w:rsid w:val="00ED33F0"/>
    <w:rsid w:val="00F0104C"/>
    <w:rsid w:val="00F12DA3"/>
    <w:rsid w:val="00F33B28"/>
    <w:rsid w:val="00F607B2"/>
    <w:rsid w:val="00F63600"/>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C7B07A"/>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Coordinator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579F2-2BE0-4CFA-B2E7-D444B0FFA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Sutton Carla (Royal Devon and Exeter Foundation Trust)</cp:lastModifiedBy>
  <cp:revision>4</cp:revision>
  <cp:lastPrinted>2019-07-04T08:11:00Z</cp:lastPrinted>
  <dcterms:created xsi:type="dcterms:W3CDTF">2023-05-25T15:10:00Z</dcterms:created>
  <dcterms:modified xsi:type="dcterms:W3CDTF">2023-06-30T15:02:00Z</dcterms:modified>
</cp:coreProperties>
</file>