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BE731A"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266700</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21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20533" w:rsidP="00F65B3A">
            <w:pPr>
              <w:jc w:val="both"/>
              <w:rPr>
                <w:rFonts w:ascii="Arial" w:hAnsi="Arial" w:cs="Arial"/>
                <w:color w:val="FF0000"/>
              </w:rPr>
            </w:pPr>
            <w:r>
              <w:rPr>
                <w:rFonts w:ascii="Arial" w:hAnsi="Arial" w:cs="Arial"/>
              </w:rPr>
              <w:t>Surgical</w:t>
            </w:r>
            <w:r w:rsidR="00F65B3A">
              <w:rPr>
                <w:rFonts w:ascii="Arial" w:hAnsi="Arial" w:cs="Arial"/>
              </w:rPr>
              <w:t xml:space="preserve"> </w:t>
            </w:r>
            <w:r>
              <w:rPr>
                <w:rFonts w:ascii="Arial" w:hAnsi="Arial" w:cs="Arial"/>
              </w:rPr>
              <w:t>Division</w:t>
            </w:r>
            <w:r w:rsidR="00F65B3A">
              <w:rPr>
                <w:rFonts w:ascii="Arial" w:hAnsi="Arial" w:cs="Arial"/>
              </w:rPr>
              <w:t xml:space="preserve"> – Acute Surgery, </w:t>
            </w:r>
            <w:r w:rsidR="00016389">
              <w:rPr>
                <w:rFonts w:ascii="Arial" w:hAnsi="Arial" w:cs="Arial"/>
              </w:rPr>
              <w:t>Upper GI</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lastRenderedPageBreak/>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F65B3A" w:rsidRPr="007767DD" w:rsidRDefault="00F65B3A" w:rsidP="007767DD">
            <w:pPr>
              <w:pStyle w:val="ListParagraph"/>
              <w:numPr>
                <w:ilvl w:val="0"/>
                <w:numId w:val="18"/>
              </w:numPr>
              <w:rPr>
                <w:rFonts w:ascii="Arial" w:hAnsi="Arial" w:cs="Arial"/>
              </w:rPr>
            </w:pPr>
            <w:r>
              <w:rPr>
                <w:rFonts w:ascii="Arial" w:hAnsi="Arial" w:cs="Arial"/>
              </w:rPr>
              <w:t>Managing their Consultants theatre lists and ensuring these are used to capacity.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To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lastRenderedPageBreak/>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 xml:space="preserve">Our vision is to provide safe, high quality seamless services delivered with courtesy and respect. To achieve our </w:t>
            </w:r>
            <w:r w:rsidR="00016389"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4A742A"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4A742A" w:rsidP="00036329">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lastRenderedPageBreak/>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r w:rsidRPr="00F65B3A">
              <w:rPr>
                <w:rFonts w:ascii="Arial" w:hAnsi="Arial" w:cs="Arial"/>
                <w:b/>
              </w:rPr>
              <w:t>E</w:t>
            </w: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BE731A" w:rsidP="00BE731A">
    <w:pPr>
      <w:pStyle w:val="Header"/>
      <w:jc w:val="right"/>
    </w:pPr>
    <w:r>
      <w:rPr>
        <w:noProof/>
      </w:rPr>
      <w:drawing>
        <wp:inline distT="0" distB="0" distL="0" distR="0">
          <wp:extent cx="1447800" cy="60465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619" cy="615020"/>
                  </a:xfrm>
                  <a:prstGeom prst="rect">
                    <a:avLst/>
                  </a:prstGeom>
                  <a:noFill/>
                  <a:ln>
                    <a:noFill/>
                  </a:ln>
                </pic:spPr>
              </pic:pic>
            </a:graphicData>
          </a:graphic>
        </wp:inline>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389"/>
    <w:rsid w:val="00036329"/>
    <w:rsid w:val="0005796B"/>
    <w:rsid w:val="00090F9D"/>
    <w:rsid w:val="000C157D"/>
    <w:rsid w:val="000E5016"/>
    <w:rsid w:val="000F4B28"/>
    <w:rsid w:val="00120D94"/>
    <w:rsid w:val="00172534"/>
    <w:rsid w:val="00177FA1"/>
    <w:rsid w:val="001B750B"/>
    <w:rsid w:val="001C1803"/>
    <w:rsid w:val="001D2D93"/>
    <w:rsid w:val="00213541"/>
    <w:rsid w:val="002307FB"/>
    <w:rsid w:val="002936EA"/>
    <w:rsid w:val="002C2146"/>
    <w:rsid w:val="003B04AD"/>
    <w:rsid w:val="003B43F4"/>
    <w:rsid w:val="003B4C1F"/>
    <w:rsid w:val="003C5A3F"/>
    <w:rsid w:val="00431F44"/>
    <w:rsid w:val="004733A7"/>
    <w:rsid w:val="00495863"/>
    <w:rsid w:val="004A2793"/>
    <w:rsid w:val="004A742A"/>
    <w:rsid w:val="004F243E"/>
    <w:rsid w:val="004F7CE0"/>
    <w:rsid w:val="005033D7"/>
    <w:rsid w:val="00531696"/>
    <w:rsid w:val="0056070A"/>
    <w:rsid w:val="005776BB"/>
    <w:rsid w:val="005F5196"/>
    <w:rsid w:val="00615705"/>
    <w:rsid w:val="006C38CB"/>
    <w:rsid w:val="006F4F61"/>
    <w:rsid w:val="006F5D1E"/>
    <w:rsid w:val="00701BDE"/>
    <w:rsid w:val="00722BF9"/>
    <w:rsid w:val="007767DD"/>
    <w:rsid w:val="0079132F"/>
    <w:rsid w:val="007B321A"/>
    <w:rsid w:val="00832933"/>
    <w:rsid w:val="00863ED6"/>
    <w:rsid w:val="0087013E"/>
    <w:rsid w:val="008915B6"/>
    <w:rsid w:val="008D6EE5"/>
    <w:rsid w:val="009735B9"/>
    <w:rsid w:val="009A2853"/>
    <w:rsid w:val="009C3599"/>
    <w:rsid w:val="009D0DEA"/>
    <w:rsid w:val="00A04624"/>
    <w:rsid w:val="00A1395C"/>
    <w:rsid w:val="00A400B0"/>
    <w:rsid w:val="00A852BF"/>
    <w:rsid w:val="00A95BA6"/>
    <w:rsid w:val="00AA386D"/>
    <w:rsid w:val="00AC177C"/>
    <w:rsid w:val="00AE43BA"/>
    <w:rsid w:val="00B01003"/>
    <w:rsid w:val="00BE731A"/>
    <w:rsid w:val="00BF126B"/>
    <w:rsid w:val="00C35B10"/>
    <w:rsid w:val="00C9206A"/>
    <w:rsid w:val="00CC2F4E"/>
    <w:rsid w:val="00D14EA8"/>
    <w:rsid w:val="00D20533"/>
    <w:rsid w:val="00D244DD"/>
    <w:rsid w:val="00D44AB0"/>
    <w:rsid w:val="00D56E0D"/>
    <w:rsid w:val="00D85E27"/>
    <w:rsid w:val="00E06039"/>
    <w:rsid w:val="00E35E30"/>
    <w:rsid w:val="00E479D7"/>
    <w:rsid w:val="00E536CD"/>
    <w:rsid w:val="00EB70B9"/>
    <w:rsid w:val="00EC5A7D"/>
    <w:rsid w:val="00ED33F0"/>
    <w:rsid w:val="00F0104C"/>
    <w:rsid w:val="00F12DA3"/>
    <w:rsid w:val="00F33B28"/>
    <w:rsid w:val="00F37D82"/>
    <w:rsid w:val="00F607B2"/>
    <w:rsid w:val="00F63600"/>
    <w:rsid w:val="00F65B3A"/>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826C-458A-4B60-B4AB-B7EC0FDE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8</cp:revision>
  <cp:lastPrinted>2019-07-04T08:11:00Z</cp:lastPrinted>
  <dcterms:created xsi:type="dcterms:W3CDTF">2023-08-31T12:41:00Z</dcterms:created>
  <dcterms:modified xsi:type="dcterms:W3CDTF">2025-09-19T12:44:00Z</dcterms:modified>
</cp:coreProperties>
</file>