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8BFCAD" w:rsidR="00213541" w:rsidRPr="00EB7A08" w:rsidRDefault="00EB7A08" w:rsidP="00F607B2">
            <w:pPr>
              <w:jc w:val="both"/>
              <w:rPr>
                <w:rFonts w:ascii="Arial" w:hAnsi="Arial" w:cs="Arial"/>
              </w:rPr>
            </w:pPr>
            <w:r w:rsidRPr="00EB7A08">
              <w:rPr>
                <w:rFonts w:ascii="Arial" w:hAnsi="Arial" w:cs="Arial"/>
              </w:rPr>
              <w:t>Welcome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1A9684"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77777777" w:rsidR="00EB7A08" w:rsidRDefault="00EB7A08" w:rsidP="00EB7A08">
            <w:pPr>
              <w:rPr>
                <w:rFonts w:ascii="Arial" w:hAnsi="Arial" w:cs="Arial"/>
              </w:rPr>
            </w:pPr>
            <w:r>
              <w:rPr>
                <w:rFonts w:ascii="Arial" w:hAnsi="Arial" w:cs="Arial"/>
              </w:rPr>
              <w:t>Our Welcome Clerks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proofErr w:type="spellStart"/>
            <w:r w:rsidRPr="00EB7A08">
              <w:rPr>
                <w:rFonts w:ascii="Arial" w:hAnsi="Arial" w:cs="Arial"/>
              </w:rPr>
              <w:t>recepted</w:t>
            </w:r>
            <w:proofErr w:type="spellEnd"/>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475EE4">
      <w:pPr>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743AD7B3" w14:textId="36EEE6A8" w:rsidR="008F7D36" w:rsidRPr="00475EE4" w:rsidRDefault="008F7D36" w:rsidP="00475EE4">
      <w:pPr>
        <w:spacing w:after="0" w:line="240" w:lineRule="auto"/>
        <w:ind w:right="-472"/>
        <w:rPr>
          <w:rFonts w:ascii="Arial" w:hAnsi="Arial" w:cs="Arial"/>
          <w:sz w:val="40"/>
        </w:rPr>
      </w:pPr>
      <w:r>
        <w:rPr>
          <w:rFonts w:ascii="Arial" w:hAnsi="Arial" w:cs="Arial"/>
          <w:sz w:val="40"/>
        </w:rPr>
        <w:lastRenderedPageBreak/>
        <w:t>PERSON SPECIFICATION</w:t>
      </w:r>
      <w:bookmarkStart w:id="0" w:name="_GoBack"/>
      <w:bookmarkEnd w:id="0"/>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EABA7A3" w:rsidR="008F7D36" w:rsidRPr="00F607B2" w:rsidRDefault="00104CE9" w:rsidP="00AE0EC0">
            <w:pPr>
              <w:jc w:val="both"/>
              <w:rPr>
                <w:rFonts w:ascii="Arial" w:hAnsi="Arial" w:cs="Arial"/>
              </w:rPr>
            </w:pPr>
            <w:r>
              <w:rPr>
                <w:rFonts w:ascii="Arial" w:hAnsi="Arial" w:cs="Arial"/>
              </w:rPr>
              <w:t>Welcome Clerk</w:t>
            </w:r>
          </w:p>
        </w:tc>
      </w:tr>
    </w:tbl>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7878FBD6"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2BC73D81"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p>
        </w:tc>
        <w:tc>
          <w:tcPr>
            <w:tcW w:w="1398" w:type="dxa"/>
          </w:tcPr>
          <w:p w14:paraId="7C1B76A4" w14:textId="77777777" w:rsidR="001D2D93" w:rsidRDefault="001D2D93" w:rsidP="00884334">
            <w:pPr>
              <w:jc w:val="both"/>
              <w:rPr>
                <w:rFonts w:ascii="Arial" w:hAnsi="Arial" w:cs="Arial"/>
              </w:rPr>
            </w:pPr>
          </w:p>
          <w:p w14:paraId="4F8FAE87" w14:textId="77777777" w:rsidR="000C32E3" w:rsidRDefault="00104CE9"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158F5382" w:rsidR="00104CE9" w:rsidRPr="00F607B2" w:rsidRDefault="00104CE9" w:rsidP="00884334">
            <w:pPr>
              <w:jc w:val="both"/>
              <w:rPr>
                <w:rFonts w:ascii="Arial" w:hAnsi="Arial" w:cs="Arial"/>
              </w:rPr>
            </w:pPr>
            <w:r>
              <w:rPr>
                <w:rFonts w:ascii="Arial" w:hAnsi="Arial" w:cs="Arial"/>
              </w:rPr>
              <w:t>E</w:t>
            </w:r>
          </w:p>
        </w:tc>
        <w:tc>
          <w:tcPr>
            <w:tcW w:w="1275" w:type="dxa"/>
          </w:tcPr>
          <w:p w14:paraId="526F1F0E" w14:textId="77777777" w:rsidR="001D2D93" w:rsidRDefault="001D2D93" w:rsidP="00884334">
            <w:pPr>
              <w:jc w:val="both"/>
              <w:rPr>
                <w:rFonts w:ascii="Arial" w:hAnsi="Arial" w:cs="Arial"/>
              </w:rPr>
            </w:pPr>
          </w:p>
          <w:p w14:paraId="2BD12ADC" w14:textId="77777777" w:rsidR="00104CE9" w:rsidRDefault="00104CE9"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6A01C268" w:rsidR="00104CE9" w:rsidRPr="00F607B2" w:rsidRDefault="00104CE9" w:rsidP="00884334">
            <w:pPr>
              <w:jc w:val="both"/>
              <w:rPr>
                <w:rFonts w:ascii="Arial" w:hAnsi="Arial" w:cs="Arial"/>
              </w:rPr>
            </w:pPr>
            <w:r>
              <w:rPr>
                <w:rFonts w:ascii="Arial" w:hAnsi="Arial" w:cs="Arial"/>
              </w:rPr>
              <w:t>E</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104CE9">
            <w:pPr>
              <w:jc w:val="both"/>
              <w:rPr>
                <w:rFonts w:ascii="Arial" w:hAnsi="Arial" w:cs="Arial"/>
              </w:rPr>
            </w:pPr>
            <w:r w:rsidRPr="00104CE9">
              <w:rPr>
                <w:rFonts w:ascii="Arial" w:hAnsi="Arial" w:cs="Arial"/>
              </w:rPr>
              <w:t>Knowledge of Trust procedures</w:t>
            </w:r>
          </w:p>
          <w:p w14:paraId="73E9D6CA" w14:textId="608BF7C8"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77777777" w:rsidR="00104CE9" w:rsidRPr="00104CE9" w:rsidRDefault="00104CE9" w:rsidP="00104CE9">
            <w:pPr>
              <w:jc w:val="both"/>
              <w:rPr>
                <w:rFonts w:ascii="Arial" w:hAnsi="Arial" w:cs="Arial"/>
              </w:rPr>
            </w:pPr>
            <w:r w:rsidRPr="00104CE9">
              <w:rPr>
                <w:rFonts w:ascii="Arial" w:hAnsi="Arial" w:cs="Arial"/>
              </w:rPr>
              <w:t>E</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77777777" w:rsidR="00104CE9" w:rsidRPr="00104CE9" w:rsidRDefault="00104CE9" w:rsidP="00104CE9">
            <w:pPr>
              <w:jc w:val="both"/>
              <w:rPr>
                <w:rFonts w:ascii="Arial" w:hAnsi="Arial" w:cs="Arial"/>
              </w:rPr>
            </w:pPr>
            <w:r w:rsidRPr="00104CE9">
              <w:rPr>
                <w:rFonts w:ascii="Arial" w:hAnsi="Arial" w:cs="Arial"/>
              </w:rPr>
              <w:t>E</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475EE4">
        <w:trPr>
          <w:trHeight w:val="274"/>
        </w:trPr>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D62603" w:rsidRDefault="00D62603" w:rsidP="008D6EE5">
      <w:pPr>
        <w:spacing w:after="0" w:line="240" w:lineRule="auto"/>
      </w:pPr>
      <w:r>
        <w:separator/>
      </w:r>
    </w:p>
  </w:endnote>
  <w:endnote w:type="continuationSeparator" w:id="0">
    <w:p w14:paraId="7F2E4D83" w14:textId="77777777"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D62603" w:rsidRDefault="00D62603" w:rsidP="008D6EE5">
      <w:pPr>
        <w:spacing w:after="0" w:line="240" w:lineRule="auto"/>
      </w:pPr>
      <w:r>
        <w:separator/>
      </w:r>
    </w:p>
  </w:footnote>
  <w:footnote w:type="continuationSeparator" w:id="0">
    <w:p w14:paraId="5F0AD4F8" w14:textId="77777777"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75EE4"/>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0EAC"/>
    <w:rsid w:val="009F37F8"/>
    <w:rsid w:val="00A1395C"/>
    <w:rsid w:val="00A14A3C"/>
    <w:rsid w:val="00A37038"/>
    <w:rsid w:val="00A400B0"/>
    <w:rsid w:val="00A430A2"/>
    <w:rsid w:val="00A95BA6"/>
    <w:rsid w:val="00AC177C"/>
    <w:rsid w:val="00AE43BA"/>
    <w:rsid w:val="00B35774"/>
    <w:rsid w:val="00B41A6D"/>
    <w:rsid w:val="00B62B9F"/>
    <w:rsid w:val="00B72D0C"/>
    <w:rsid w:val="00B735BB"/>
    <w:rsid w:val="00B95A94"/>
    <w:rsid w:val="00BA280B"/>
    <w:rsid w:val="00BB0F99"/>
    <w:rsid w:val="00BB3FE0"/>
    <w:rsid w:val="00BD7483"/>
    <w:rsid w:val="00BE60E7"/>
    <w:rsid w:val="00BF126B"/>
    <w:rsid w:val="00C167B5"/>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8AC5E-2823-43FB-B0CA-93CECEEB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Spry Elaine (Royal Devon and Exeter Foundation Trust)</cp:lastModifiedBy>
  <cp:revision>3</cp:revision>
  <cp:lastPrinted>2019-07-04T08:11:00Z</cp:lastPrinted>
  <dcterms:created xsi:type="dcterms:W3CDTF">2023-04-03T07:21:00Z</dcterms:created>
  <dcterms:modified xsi:type="dcterms:W3CDTF">2025-01-15T15:03:00Z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