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E90" w:rsidRDefault="00D53FC1" w:rsidP="00D53FC1">
      <w:pPr>
        <w:pStyle w:val="PageHeader"/>
        <w:jc w:val="right"/>
      </w:pPr>
      <w:r>
        <w:rPr>
          <w:noProof/>
        </w:rPr>
        <w:drawing>
          <wp:inline distT="0" distB="0" distL="0" distR="0" wp14:anchorId="2B451CCD">
            <wp:extent cx="215265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914400"/>
                    </a:xfrm>
                    <a:prstGeom prst="rect">
                      <a:avLst/>
                    </a:prstGeom>
                    <a:noFill/>
                  </pic:spPr>
                </pic:pic>
              </a:graphicData>
            </a:graphic>
          </wp:inline>
        </w:drawing>
      </w:r>
    </w:p>
    <w:p w:rsidR="00560E90" w:rsidRDefault="00560E90" w:rsidP="00D53FC1">
      <w:pPr>
        <w:pStyle w:val="PageHeader"/>
      </w:pPr>
    </w:p>
    <w:p w:rsidR="00DF266E" w:rsidRDefault="00DF266E">
      <w:pPr>
        <w:pStyle w:val="PageHeader"/>
        <w:jc w:val="center"/>
      </w:pPr>
      <w:r>
        <w:t>Job Description</w:t>
      </w:r>
    </w:p>
    <w:p w:rsidR="00DF266E" w:rsidRDefault="00DF266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492"/>
      </w:tblGrid>
      <w:tr w:rsidR="00DF266E">
        <w:trPr>
          <w:cantSplit/>
        </w:trPr>
        <w:tc>
          <w:tcPr>
            <w:tcW w:w="9286" w:type="dxa"/>
            <w:gridSpan w:val="2"/>
          </w:tcPr>
          <w:p w:rsidR="00DF266E" w:rsidRDefault="00DF266E">
            <w:pPr>
              <w:pStyle w:val="bodytext"/>
            </w:pPr>
            <w:r>
              <w:rPr>
                <w:b/>
              </w:rPr>
              <w:t>1. Job Details</w:t>
            </w:r>
          </w:p>
        </w:tc>
      </w:tr>
      <w:tr w:rsidR="00DF266E" w:rsidTr="00C4134A">
        <w:tc>
          <w:tcPr>
            <w:tcW w:w="3794" w:type="dxa"/>
          </w:tcPr>
          <w:p w:rsidR="00DF266E" w:rsidRPr="00C4134A" w:rsidRDefault="00DF266E">
            <w:pPr>
              <w:pStyle w:val="bodytext"/>
              <w:rPr>
                <w:b/>
              </w:rPr>
            </w:pPr>
            <w:r w:rsidRPr="00C4134A">
              <w:rPr>
                <w:b/>
              </w:rPr>
              <w:t>Job Title:</w:t>
            </w:r>
          </w:p>
        </w:tc>
        <w:tc>
          <w:tcPr>
            <w:tcW w:w="5492" w:type="dxa"/>
          </w:tcPr>
          <w:p w:rsidR="00DF266E" w:rsidRPr="00995DBD" w:rsidRDefault="00DF266E" w:rsidP="00995DBD">
            <w:pPr>
              <w:pStyle w:val="bodytext"/>
              <w:rPr>
                <w:rFonts w:asciiTheme="minorHAnsi" w:hAnsiTheme="minorHAnsi"/>
              </w:rPr>
            </w:pPr>
            <w:r w:rsidRPr="00995DBD">
              <w:rPr>
                <w:rFonts w:asciiTheme="minorHAnsi" w:hAnsiTheme="minorHAnsi"/>
              </w:rPr>
              <w:t>Trust Service Doctor Medicine</w:t>
            </w:r>
            <w:r w:rsidR="000161CA" w:rsidRPr="00995DBD">
              <w:rPr>
                <w:rFonts w:asciiTheme="minorHAnsi" w:hAnsiTheme="minorHAnsi"/>
              </w:rPr>
              <w:t xml:space="preserve"> </w:t>
            </w:r>
            <w:r w:rsidR="00A121D9">
              <w:rPr>
                <w:rFonts w:asciiTheme="minorHAnsi" w:hAnsiTheme="minorHAnsi"/>
              </w:rPr>
              <w:t xml:space="preserve">@ </w:t>
            </w:r>
            <w:r w:rsidR="00E72E7D">
              <w:rPr>
                <w:rFonts w:asciiTheme="minorHAnsi" w:hAnsiTheme="minorHAnsi"/>
              </w:rPr>
              <w:t>ST</w:t>
            </w:r>
            <w:r w:rsidR="00995DBD" w:rsidRPr="00995DBD">
              <w:rPr>
                <w:rFonts w:asciiTheme="minorHAnsi" w:hAnsiTheme="minorHAnsi"/>
              </w:rPr>
              <w:t xml:space="preserve">1 level </w:t>
            </w:r>
          </w:p>
        </w:tc>
      </w:tr>
      <w:tr w:rsidR="00DF266E" w:rsidTr="00C4134A">
        <w:tc>
          <w:tcPr>
            <w:tcW w:w="3794" w:type="dxa"/>
          </w:tcPr>
          <w:p w:rsidR="00DF266E" w:rsidRPr="00C4134A" w:rsidRDefault="00DF266E">
            <w:pPr>
              <w:pStyle w:val="bodytext"/>
              <w:rPr>
                <w:b/>
              </w:rPr>
            </w:pPr>
            <w:r w:rsidRPr="00C4134A">
              <w:rPr>
                <w:b/>
              </w:rPr>
              <w:t>Responsible to:</w:t>
            </w:r>
          </w:p>
        </w:tc>
        <w:tc>
          <w:tcPr>
            <w:tcW w:w="5492" w:type="dxa"/>
          </w:tcPr>
          <w:p w:rsidR="00DF266E" w:rsidRPr="00995DBD" w:rsidRDefault="000976F0" w:rsidP="002307DD">
            <w:pPr>
              <w:pStyle w:val="bodytext"/>
              <w:rPr>
                <w:rFonts w:asciiTheme="minorHAnsi" w:hAnsiTheme="minorHAnsi"/>
              </w:rPr>
            </w:pPr>
            <w:r>
              <w:rPr>
                <w:rFonts w:asciiTheme="minorHAnsi" w:hAnsiTheme="minorHAnsi"/>
              </w:rPr>
              <w:t xml:space="preserve">Consultant </w:t>
            </w:r>
          </w:p>
        </w:tc>
      </w:tr>
      <w:tr w:rsidR="00DF266E" w:rsidTr="00C4134A">
        <w:tc>
          <w:tcPr>
            <w:tcW w:w="3794" w:type="dxa"/>
          </w:tcPr>
          <w:p w:rsidR="00DF266E" w:rsidRPr="00C4134A" w:rsidRDefault="00DF266E">
            <w:pPr>
              <w:pStyle w:val="bodytext"/>
              <w:rPr>
                <w:b/>
              </w:rPr>
            </w:pPr>
            <w:r w:rsidRPr="00C4134A">
              <w:rPr>
                <w:b/>
              </w:rPr>
              <w:t>Professionally Responsible to:</w:t>
            </w:r>
          </w:p>
        </w:tc>
        <w:tc>
          <w:tcPr>
            <w:tcW w:w="5492" w:type="dxa"/>
          </w:tcPr>
          <w:p w:rsidR="00DF266E" w:rsidRPr="00995DBD" w:rsidRDefault="00DF266E">
            <w:pPr>
              <w:pStyle w:val="bodytext"/>
              <w:rPr>
                <w:rFonts w:asciiTheme="minorHAnsi" w:hAnsiTheme="minorHAnsi"/>
              </w:rPr>
            </w:pPr>
            <w:r w:rsidRPr="00995DBD">
              <w:rPr>
                <w:rFonts w:asciiTheme="minorHAnsi" w:hAnsiTheme="minorHAnsi"/>
              </w:rPr>
              <w:t>Clinical Director &amp; Consultants in Medicine</w:t>
            </w:r>
          </w:p>
        </w:tc>
      </w:tr>
      <w:tr w:rsidR="00DF266E" w:rsidTr="00C4134A">
        <w:tc>
          <w:tcPr>
            <w:tcW w:w="3794" w:type="dxa"/>
          </w:tcPr>
          <w:p w:rsidR="00DF266E" w:rsidRPr="00C4134A" w:rsidRDefault="00DF266E">
            <w:pPr>
              <w:pStyle w:val="bodytext"/>
              <w:rPr>
                <w:b/>
              </w:rPr>
            </w:pPr>
            <w:r w:rsidRPr="00C4134A">
              <w:rPr>
                <w:b/>
              </w:rPr>
              <w:t>Grade:</w:t>
            </w:r>
          </w:p>
        </w:tc>
        <w:tc>
          <w:tcPr>
            <w:tcW w:w="5492" w:type="dxa"/>
          </w:tcPr>
          <w:p w:rsidR="00DF266E" w:rsidRPr="00995DBD" w:rsidRDefault="00DF266E" w:rsidP="00047B0A">
            <w:pPr>
              <w:pStyle w:val="bodytext"/>
              <w:rPr>
                <w:rFonts w:asciiTheme="minorHAnsi" w:hAnsiTheme="minorHAnsi"/>
              </w:rPr>
            </w:pPr>
            <w:r w:rsidRPr="00995DBD">
              <w:rPr>
                <w:rFonts w:asciiTheme="minorHAnsi" w:hAnsiTheme="minorHAnsi"/>
              </w:rPr>
              <w:t xml:space="preserve">Trust Service Doctor </w:t>
            </w:r>
            <w:r w:rsidR="00A5065F">
              <w:rPr>
                <w:rFonts w:asciiTheme="minorHAnsi" w:hAnsiTheme="minorHAnsi"/>
              </w:rPr>
              <w:t>6</w:t>
            </w:r>
            <w:r w:rsidR="00047B0A" w:rsidRPr="00995DBD">
              <w:rPr>
                <w:rFonts w:asciiTheme="minorHAnsi" w:hAnsiTheme="minorHAnsi"/>
              </w:rPr>
              <w:t xml:space="preserve"> months</w:t>
            </w:r>
          </w:p>
        </w:tc>
      </w:tr>
      <w:tr w:rsidR="00DF266E" w:rsidTr="00C4134A">
        <w:tc>
          <w:tcPr>
            <w:tcW w:w="3794" w:type="dxa"/>
          </w:tcPr>
          <w:p w:rsidR="00DF266E" w:rsidRPr="00C4134A" w:rsidRDefault="00DF266E">
            <w:pPr>
              <w:pStyle w:val="bodytext"/>
              <w:rPr>
                <w:b/>
              </w:rPr>
            </w:pPr>
            <w:r w:rsidRPr="00C4134A">
              <w:rPr>
                <w:b/>
              </w:rPr>
              <w:t>Unit:</w:t>
            </w:r>
          </w:p>
        </w:tc>
        <w:tc>
          <w:tcPr>
            <w:tcW w:w="5492" w:type="dxa"/>
          </w:tcPr>
          <w:p w:rsidR="00DF266E" w:rsidRPr="00995DBD" w:rsidRDefault="00DF266E">
            <w:pPr>
              <w:pStyle w:val="bodytext"/>
              <w:rPr>
                <w:rFonts w:asciiTheme="minorHAnsi" w:hAnsiTheme="minorHAnsi"/>
              </w:rPr>
            </w:pPr>
            <w:r w:rsidRPr="00995DBD">
              <w:rPr>
                <w:rFonts w:asciiTheme="minorHAnsi" w:hAnsiTheme="minorHAnsi"/>
              </w:rPr>
              <w:t>Medicine</w:t>
            </w:r>
          </w:p>
        </w:tc>
      </w:tr>
      <w:tr w:rsidR="00DF266E" w:rsidTr="00C4134A">
        <w:tc>
          <w:tcPr>
            <w:tcW w:w="3794" w:type="dxa"/>
          </w:tcPr>
          <w:p w:rsidR="00DF266E" w:rsidRPr="00C4134A" w:rsidRDefault="00DF266E">
            <w:pPr>
              <w:pStyle w:val="bodytext"/>
              <w:rPr>
                <w:b/>
              </w:rPr>
            </w:pPr>
            <w:r w:rsidRPr="00C4134A">
              <w:rPr>
                <w:b/>
              </w:rPr>
              <w:t>Salary:</w:t>
            </w:r>
          </w:p>
        </w:tc>
        <w:tc>
          <w:tcPr>
            <w:tcW w:w="5492" w:type="dxa"/>
          </w:tcPr>
          <w:p w:rsidR="00DF266E" w:rsidRPr="00904BA0" w:rsidRDefault="00904BA0" w:rsidP="000976F0">
            <w:pPr>
              <w:pStyle w:val="bodytext"/>
              <w:rPr>
                <w:rFonts w:asciiTheme="minorHAnsi" w:hAnsiTheme="minorHAnsi"/>
              </w:rPr>
            </w:pPr>
            <w:r w:rsidRPr="00904BA0">
              <w:rPr>
                <w:rFonts w:eastAsia="Arial"/>
                <w:color w:val="000000"/>
                <w:sz w:val="20"/>
              </w:rPr>
              <w:t>£40,257.00</w:t>
            </w:r>
            <w:r w:rsidR="000976F0" w:rsidRPr="00904BA0">
              <w:rPr>
                <w:rFonts w:eastAsia="Arial"/>
                <w:color w:val="000000"/>
              </w:rPr>
              <w:t xml:space="preserve"> (on-call </w:t>
            </w:r>
            <w:proofErr w:type="spellStart"/>
            <w:r w:rsidR="000976F0" w:rsidRPr="00904BA0">
              <w:rPr>
                <w:rFonts w:eastAsia="Arial"/>
                <w:color w:val="000000"/>
              </w:rPr>
              <w:t>rota</w:t>
            </w:r>
            <w:proofErr w:type="spellEnd"/>
            <w:r w:rsidR="000976F0" w:rsidRPr="00904BA0">
              <w:rPr>
                <w:rFonts w:eastAsia="Arial"/>
                <w:color w:val="000000"/>
              </w:rPr>
              <w:t xml:space="preserve">) </w:t>
            </w:r>
          </w:p>
        </w:tc>
      </w:tr>
    </w:tbl>
    <w:p w:rsidR="00DF266E" w:rsidRDefault="00DF266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tc>
          <w:tcPr>
            <w:tcW w:w="9286" w:type="dxa"/>
          </w:tcPr>
          <w:p w:rsidR="00DF266E" w:rsidRDefault="00DF266E">
            <w:pPr>
              <w:pStyle w:val="Heading1"/>
            </w:pPr>
            <w:r>
              <w:t>2. Job Purpose</w:t>
            </w:r>
          </w:p>
        </w:tc>
      </w:tr>
      <w:tr w:rsidR="00DF266E" w:rsidRPr="009B3E08">
        <w:tc>
          <w:tcPr>
            <w:tcW w:w="9286" w:type="dxa"/>
          </w:tcPr>
          <w:p w:rsidR="00995DBD" w:rsidRPr="00995DBD" w:rsidRDefault="00E72E7D" w:rsidP="00995DBD">
            <w:pPr>
              <w:keepNext/>
              <w:keepLines/>
              <w:spacing w:after="240"/>
              <w:jc w:val="both"/>
              <w:outlineLvl w:val="1"/>
              <w:rPr>
                <w:rFonts w:asciiTheme="minorHAnsi" w:eastAsiaTheme="majorEastAsia" w:hAnsiTheme="minorHAnsi" w:cs="Arial"/>
                <w:b/>
                <w:bCs/>
                <w:color w:val="4F81BD" w:themeColor="accent1"/>
                <w:sz w:val="24"/>
                <w:szCs w:val="24"/>
              </w:rPr>
            </w:pPr>
            <w:bookmarkStart w:id="0" w:name="_Toc371250262"/>
            <w:r>
              <w:rPr>
                <w:rFonts w:asciiTheme="minorHAnsi" w:eastAsiaTheme="majorEastAsia" w:hAnsiTheme="minorHAnsi" w:cs="Arial"/>
                <w:b/>
                <w:bCs/>
                <w:color w:val="4F81BD" w:themeColor="accent1"/>
                <w:sz w:val="24"/>
                <w:szCs w:val="24"/>
              </w:rPr>
              <w:t>ST1</w:t>
            </w:r>
            <w:r w:rsidR="00995DBD" w:rsidRPr="00995DBD">
              <w:rPr>
                <w:rFonts w:asciiTheme="minorHAnsi" w:eastAsiaTheme="majorEastAsia" w:hAnsiTheme="minorHAnsi" w:cs="Arial"/>
                <w:b/>
                <w:bCs/>
                <w:color w:val="4F81BD" w:themeColor="accent1"/>
                <w:sz w:val="24"/>
                <w:szCs w:val="24"/>
              </w:rPr>
              <w:t xml:space="preserve"> in General Medicine </w:t>
            </w:r>
            <w:bookmarkEnd w:id="0"/>
          </w:p>
          <w:p w:rsidR="00995DBD" w:rsidRPr="00995DBD" w:rsidRDefault="00995DBD" w:rsidP="00995DBD">
            <w:pPr>
              <w:keepNext/>
              <w:keepLines/>
              <w:spacing w:after="240"/>
              <w:jc w:val="both"/>
              <w:outlineLvl w:val="2"/>
              <w:rPr>
                <w:rFonts w:asciiTheme="minorHAnsi" w:eastAsiaTheme="majorEastAsia" w:hAnsiTheme="minorHAnsi" w:cs="Arial"/>
                <w:b/>
                <w:bCs/>
                <w:color w:val="4F81BD" w:themeColor="accent1"/>
                <w:sz w:val="24"/>
                <w:szCs w:val="24"/>
              </w:rPr>
            </w:pPr>
            <w:r w:rsidRPr="00995DBD">
              <w:rPr>
                <w:rFonts w:asciiTheme="minorHAnsi" w:eastAsiaTheme="majorEastAsia" w:hAnsiTheme="minorHAnsi" w:cs="Arial"/>
                <w:b/>
                <w:bCs/>
                <w:color w:val="4F81BD" w:themeColor="accent1"/>
                <w:sz w:val="24"/>
                <w:szCs w:val="24"/>
              </w:rPr>
              <w:t>Learning Objectives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Gain experience of common presentations of acute medical conditions, including subspecialty diseases.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Refine clinical skills in history-taking &amp; examination.</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Perform practical procedures.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Develop management plans, including investigation &amp; treatment.</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Expand decision making skills &amp; understanding of treatment rationales.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Improve communication skills with the wider team and with community services.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Manage time &amp; clinical priorities effectively.</w:t>
            </w:r>
          </w:p>
          <w:p w:rsidR="00995DBD" w:rsidRPr="00995DBD" w:rsidRDefault="00995DBD" w:rsidP="00995DBD">
            <w:pPr>
              <w:keepNext/>
              <w:keepLines/>
              <w:spacing w:after="240"/>
              <w:jc w:val="both"/>
              <w:outlineLvl w:val="2"/>
              <w:rPr>
                <w:rFonts w:asciiTheme="minorHAnsi" w:eastAsiaTheme="majorEastAsia" w:hAnsiTheme="minorHAnsi" w:cs="Arial"/>
                <w:b/>
                <w:bCs/>
                <w:color w:val="4F81BD" w:themeColor="accent1"/>
                <w:sz w:val="24"/>
                <w:szCs w:val="24"/>
              </w:rPr>
            </w:pPr>
            <w:r w:rsidRPr="00995DBD">
              <w:rPr>
                <w:rFonts w:asciiTheme="minorHAnsi" w:eastAsiaTheme="majorEastAsia" w:hAnsiTheme="minorHAnsi" w:cs="Arial"/>
                <w:b/>
                <w:bCs/>
                <w:color w:val="4F81BD" w:themeColor="accent1"/>
                <w:sz w:val="24"/>
                <w:szCs w:val="24"/>
              </w:rPr>
              <w:t>Nature of Duties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Assessment &amp; management of patients with acute medical conditions.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Practical procedures, including core procedures.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Request appropriate investigations.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Appropriate &amp; safe prescribing</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Attend ward rounds with senior medical staff.</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Communication including maintaining clinical notes, referrals to other teams &amp; producing discharge summaries.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On call duties.</w:t>
            </w:r>
          </w:p>
          <w:p w:rsidR="00995DBD" w:rsidRPr="00995DBD" w:rsidRDefault="00995DBD" w:rsidP="00995DBD">
            <w:pPr>
              <w:keepNext/>
              <w:keepLines/>
              <w:spacing w:after="240"/>
              <w:jc w:val="both"/>
              <w:outlineLvl w:val="2"/>
              <w:rPr>
                <w:rFonts w:asciiTheme="minorHAnsi" w:eastAsiaTheme="majorEastAsia" w:hAnsiTheme="minorHAnsi" w:cs="Arial"/>
                <w:b/>
                <w:bCs/>
                <w:color w:val="4F81BD" w:themeColor="accent1"/>
                <w:sz w:val="24"/>
                <w:szCs w:val="24"/>
              </w:rPr>
            </w:pPr>
            <w:r w:rsidRPr="00995DBD">
              <w:rPr>
                <w:rFonts w:asciiTheme="minorHAnsi" w:eastAsiaTheme="majorEastAsia" w:hAnsiTheme="minorHAnsi" w:cs="Arial"/>
                <w:b/>
                <w:bCs/>
                <w:color w:val="4F81BD" w:themeColor="accent1"/>
                <w:sz w:val="24"/>
                <w:szCs w:val="24"/>
              </w:rPr>
              <w:t>Formal Learning Opportunities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Morning report &amp; teaching ward rounds.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 xml:space="preserve">Generic teaching </w:t>
            </w:r>
            <w:proofErr w:type="spellStart"/>
            <w:r w:rsidRPr="00995DBD">
              <w:rPr>
                <w:rFonts w:asciiTheme="minorHAnsi" w:eastAsiaTheme="minorEastAsia" w:hAnsiTheme="minorHAnsi" w:cs="Arial"/>
                <w:sz w:val="24"/>
                <w:szCs w:val="24"/>
              </w:rPr>
              <w:t>programme</w:t>
            </w:r>
            <w:proofErr w:type="spellEnd"/>
            <w:r w:rsidRPr="00995DBD">
              <w:rPr>
                <w:rFonts w:asciiTheme="minorHAnsi" w:eastAsiaTheme="minorEastAsia" w:hAnsiTheme="minorHAnsi" w:cs="Arial"/>
                <w:sz w:val="24"/>
                <w:szCs w:val="24"/>
              </w:rPr>
              <w:t>, including simulation sessions.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Departmental teaching sessions.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Multi-disciplinary meetings.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Quarterly clinical governance meetings.</w:t>
            </w:r>
          </w:p>
          <w:p w:rsidR="00995DBD" w:rsidRPr="00995DBD" w:rsidRDefault="00995DBD" w:rsidP="00995DBD">
            <w:pPr>
              <w:numPr>
                <w:ilvl w:val="0"/>
                <w:numId w:val="21"/>
              </w:numPr>
              <w:spacing w:after="120"/>
              <w:contextualSpacing/>
              <w:jc w:val="both"/>
              <w:rPr>
                <w:rFonts w:asciiTheme="minorHAnsi" w:eastAsiaTheme="minorEastAsia" w:hAnsiTheme="minorHAnsi" w:cs="Arial"/>
                <w:sz w:val="24"/>
                <w:szCs w:val="24"/>
              </w:rPr>
            </w:pPr>
            <w:r w:rsidRPr="00995DBD">
              <w:rPr>
                <w:rFonts w:asciiTheme="minorHAnsi" w:eastAsiaTheme="minorEastAsia" w:hAnsiTheme="minorHAnsi" w:cs="Arial"/>
                <w:sz w:val="24"/>
                <w:szCs w:val="24"/>
              </w:rPr>
              <w:t>Participation in clinical audit.</w:t>
            </w:r>
          </w:p>
          <w:p w:rsidR="00DF266E" w:rsidRPr="000161CA" w:rsidRDefault="00DF266E" w:rsidP="00995DBD">
            <w:pPr>
              <w:rPr>
                <w:szCs w:val="24"/>
                <w:highlight w:val="yellow"/>
              </w:rPr>
            </w:pPr>
          </w:p>
        </w:tc>
      </w:tr>
    </w:tbl>
    <w:p w:rsidR="00DF266E" w:rsidRDefault="00DF266E">
      <w:pPr>
        <w:pStyle w:val="bodytext"/>
        <w:rPr>
          <w:szCs w:val="24"/>
        </w:rPr>
      </w:pPr>
    </w:p>
    <w:p w:rsidR="000976F0" w:rsidRDefault="000976F0">
      <w:pPr>
        <w:pStyle w:val="bodytext"/>
        <w:rPr>
          <w:szCs w:val="24"/>
        </w:rPr>
      </w:pPr>
    </w:p>
    <w:p w:rsidR="000976F0" w:rsidRDefault="000976F0">
      <w:pPr>
        <w:pStyle w:val="bodytext"/>
        <w:rPr>
          <w:szCs w:val="24"/>
        </w:rPr>
      </w:pPr>
    </w:p>
    <w:p w:rsidR="000976F0" w:rsidRPr="009B3E08" w:rsidRDefault="000976F0">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3. Dimensions</w:t>
            </w:r>
          </w:p>
        </w:tc>
      </w:tr>
      <w:tr w:rsidR="00DF266E" w:rsidRPr="009B3E08">
        <w:tc>
          <w:tcPr>
            <w:tcW w:w="9286" w:type="dxa"/>
          </w:tcPr>
          <w:p w:rsidR="00DF266E" w:rsidRPr="00944290" w:rsidRDefault="00DF266E" w:rsidP="001D2C22">
            <w:pPr>
              <w:ind w:left="720" w:hanging="720"/>
              <w:rPr>
                <w:rFonts w:ascii="Calibri" w:hAnsi="Calibri"/>
                <w:b/>
                <w:sz w:val="24"/>
                <w:szCs w:val="24"/>
              </w:rPr>
            </w:pPr>
            <w:r w:rsidRPr="00944290">
              <w:rPr>
                <w:rFonts w:ascii="Calibri" w:hAnsi="Calibri"/>
                <w:b/>
                <w:sz w:val="24"/>
                <w:szCs w:val="24"/>
              </w:rPr>
              <w:t>CONDITIONS OF APPOINTMENT</w:t>
            </w:r>
          </w:p>
          <w:p w:rsidR="00DF266E" w:rsidRPr="00944290" w:rsidRDefault="00DF266E" w:rsidP="00944290">
            <w:pPr>
              <w:numPr>
                <w:ilvl w:val="0"/>
                <w:numId w:val="20"/>
              </w:numPr>
              <w:rPr>
                <w:rFonts w:ascii="Calibri" w:hAnsi="Calibri"/>
                <w:sz w:val="24"/>
                <w:szCs w:val="24"/>
              </w:rPr>
            </w:pPr>
            <w:r w:rsidRPr="009B3E08">
              <w:rPr>
                <w:rFonts w:ascii="Calibri" w:hAnsi="Calibri"/>
                <w:sz w:val="24"/>
                <w:szCs w:val="24"/>
              </w:rPr>
              <w:t xml:space="preserve">The post is subject to The Terms and Conditions of Service of Hospital Medical and Dental Staff, and </w:t>
            </w:r>
            <w:r w:rsidR="00D53FC1">
              <w:rPr>
                <w:rFonts w:ascii="Calibri" w:hAnsi="Calibri"/>
                <w:sz w:val="24"/>
                <w:szCs w:val="24"/>
              </w:rPr>
              <w:t xml:space="preserve">Royal </w:t>
            </w:r>
            <w:bookmarkStart w:id="1" w:name="_GoBack"/>
            <w:r w:rsidR="00D53FC1">
              <w:rPr>
                <w:rFonts w:ascii="Calibri" w:hAnsi="Calibri"/>
                <w:sz w:val="24"/>
                <w:szCs w:val="24"/>
              </w:rPr>
              <w:t>Devon</w:t>
            </w:r>
            <w:bookmarkEnd w:id="1"/>
            <w:r w:rsidR="00D53FC1">
              <w:rPr>
                <w:rFonts w:ascii="Calibri" w:hAnsi="Calibri"/>
                <w:sz w:val="24"/>
                <w:szCs w:val="24"/>
              </w:rPr>
              <w:t xml:space="preserve"> University Healthcare NHS Foundation Trust</w:t>
            </w:r>
            <w:r w:rsidRPr="009B3E08">
              <w:rPr>
                <w:rFonts w:ascii="Calibri" w:hAnsi="Calibri"/>
                <w:sz w:val="24"/>
                <w:szCs w:val="24"/>
              </w:rPr>
              <w:t xml:space="preserve">’s local agreements, as modified from time to time. Current copies of these Terms and Conditions may be requested from the Employment Services Office. Your attention is drawn particularly to the following extracts: </w:t>
            </w:r>
          </w:p>
          <w:p w:rsidR="00DF266E" w:rsidRPr="009B3E08" w:rsidRDefault="00DF266E" w:rsidP="001D2C22">
            <w:pPr>
              <w:spacing w:after="0"/>
              <w:rPr>
                <w:rFonts w:ascii="Calibri" w:hAnsi="Calibri"/>
                <w:sz w:val="24"/>
                <w:szCs w:val="24"/>
              </w:rPr>
            </w:pPr>
            <w:r w:rsidRPr="009B3E08">
              <w:rPr>
                <w:rFonts w:ascii="Calibri" w:hAnsi="Calibri"/>
                <w:b/>
                <w:sz w:val="24"/>
                <w:szCs w:val="24"/>
              </w:rPr>
              <w:t>REGISTRATION</w:t>
            </w:r>
            <w:r w:rsidRPr="009B3E08">
              <w:rPr>
                <w:rFonts w:ascii="Calibri" w:hAnsi="Calibri"/>
                <w:sz w:val="24"/>
                <w:szCs w:val="24"/>
              </w:rPr>
              <w:t xml:space="preserve">: </w:t>
            </w:r>
          </w:p>
          <w:p w:rsidR="00DF266E" w:rsidRPr="009B3E08" w:rsidRDefault="00DF266E" w:rsidP="001D2C22">
            <w:pPr>
              <w:numPr>
                <w:ilvl w:val="0"/>
                <w:numId w:val="20"/>
              </w:numPr>
              <w:spacing w:after="0"/>
              <w:rPr>
                <w:rFonts w:ascii="Calibri" w:hAnsi="Calibri"/>
                <w:sz w:val="24"/>
                <w:szCs w:val="24"/>
              </w:rPr>
            </w:pPr>
            <w:r w:rsidRPr="009B3E08">
              <w:rPr>
                <w:rFonts w:ascii="Calibri" w:hAnsi="Calibri"/>
                <w:sz w:val="24"/>
                <w:szCs w:val="24"/>
              </w:rPr>
              <w:t xml:space="preserve">All Hospital Medical and Dental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 </w:t>
            </w:r>
          </w:p>
          <w:p w:rsidR="00DF266E" w:rsidRDefault="00DF266E" w:rsidP="00F33DE9">
            <w:pPr>
              <w:rPr>
                <w:rFonts w:ascii="Calibri" w:hAnsi="Calibri" w:cs="Arial"/>
                <w:iCs/>
                <w:sz w:val="24"/>
                <w:szCs w:val="24"/>
              </w:rPr>
            </w:pPr>
          </w:p>
          <w:p w:rsidR="00DF266E" w:rsidRPr="002307DD" w:rsidRDefault="00DF266E" w:rsidP="002307DD">
            <w:pPr>
              <w:ind w:left="709" w:firstLine="11"/>
              <w:rPr>
                <w:rFonts w:ascii="Calibri" w:hAnsi="Calibri"/>
                <w:sz w:val="24"/>
                <w:szCs w:val="24"/>
              </w:rPr>
            </w:pPr>
            <w:r w:rsidRPr="009B3E08">
              <w:rPr>
                <w:rFonts w:ascii="Calibri" w:hAnsi="Calibri" w:cs="Arial"/>
                <w:iCs/>
                <w:sz w:val="24"/>
                <w:szCs w:val="24"/>
              </w:rPr>
              <w:t>Qualified practitioners are responsible for ensuring that your</w:t>
            </w:r>
            <w:r>
              <w:rPr>
                <w:rFonts w:ascii="Calibri" w:hAnsi="Calibri" w:cs="Arial"/>
                <w:iCs/>
                <w:sz w:val="24"/>
                <w:szCs w:val="24"/>
              </w:rPr>
              <w:t xml:space="preserve"> professional</w:t>
            </w:r>
            <w:r w:rsidR="002307DD">
              <w:rPr>
                <w:rFonts w:ascii="Calibri" w:hAnsi="Calibri" w:cs="Arial"/>
                <w:iCs/>
                <w:sz w:val="24"/>
                <w:szCs w:val="24"/>
              </w:rPr>
              <w:t xml:space="preserve"> </w:t>
            </w:r>
            <w:r w:rsidRPr="009B3E08">
              <w:rPr>
                <w:rFonts w:ascii="Calibri" w:hAnsi="Calibri" w:cs="Arial"/>
                <w:iCs/>
                <w:sz w:val="24"/>
                <w:szCs w:val="24"/>
              </w:rPr>
              <w:t>registration is maintained.  Failure to maintain registrat</w:t>
            </w:r>
            <w:r>
              <w:rPr>
                <w:rFonts w:ascii="Calibri" w:hAnsi="Calibri" w:cs="Arial"/>
                <w:iCs/>
                <w:sz w:val="24"/>
                <w:szCs w:val="24"/>
              </w:rPr>
              <w:t>ion will result in reassignment</w:t>
            </w:r>
            <w:r w:rsidR="002307DD">
              <w:rPr>
                <w:rFonts w:ascii="Calibri" w:hAnsi="Calibri" w:cs="Arial"/>
                <w:iCs/>
                <w:sz w:val="24"/>
                <w:szCs w:val="24"/>
              </w:rPr>
              <w:t xml:space="preserve"> </w:t>
            </w:r>
            <w:r w:rsidRPr="009B3E08">
              <w:rPr>
                <w:rFonts w:ascii="Calibri" w:hAnsi="Calibri" w:cs="Arial"/>
                <w:iCs/>
                <w:sz w:val="24"/>
                <w:szCs w:val="24"/>
              </w:rPr>
              <w:t>t</w:t>
            </w:r>
            <w:r w:rsidRPr="002307DD">
              <w:rPr>
                <w:rFonts w:ascii="Calibri" w:hAnsi="Calibri"/>
                <w:sz w:val="24"/>
                <w:szCs w:val="24"/>
              </w:rPr>
              <w:t>o a junior role which does not require professional registration, until evidence is</w:t>
            </w:r>
            <w:r w:rsidR="002307DD" w:rsidRPr="002307DD">
              <w:rPr>
                <w:rFonts w:ascii="Calibri" w:hAnsi="Calibri"/>
                <w:sz w:val="24"/>
                <w:szCs w:val="24"/>
              </w:rPr>
              <w:t xml:space="preserve"> </w:t>
            </w:r>
            <w:r w:rsidRPr="002307DD">
              <w:rPr>
                <w:rFonts w:ascii="Calibri" w:hAnsi="Calibri"/>
                <w:sz w:val="24"/>
                <w:szCs w:val="24"/>
              </w:rPr>
              <w:t>provided.  Where evidence is not forthcoming a disciplinary investigation will be</w:t>
            </w:r>
            <w:r w:rsidR="002307DD" w:rsidRPr="002307DD">
              <w:rPr>
                <w:rFonts w:ascii="Calibri" w:hAnsi="Calibri"/>
                <w:sz w:val="24"/>
                <w:szCs w:val="24"/>
              </w:rPr>
              <w:t xml:space="preserve"> </w:t>
            </w:r>
            <w:r w:rsidRPr="002307DD">
              <w:rPr>
                <w:rFonts w:ascii="Calibri" w:hAnsi="Calibri"/>
                <w:sz w:val="24"/>
                <w:szCs w:val="24"/>
              </w:rPr>
              <w:t>undertaken which could result in your employment being terminated.  You are</w:t>
            </w:r>
            <w:r w:rsidR="002307DD" w:rsidRPr="002307DD">
              <w:rPr>
                <w:rFonts w:ascii="Calibri" w:hAnsi="Calibri"/>
                <w:sz w:val="24"/>
                <w:szCs w:val="24"/>
              </w:rPr>
              <w:t xml:space="preserve"> </w:t>
            </w:r>
            <w:r w:rsidRPr="002307DD">
              <w:rPr>
                <w:rFonts w:ascii="Calibri" w:hAnsi="Calibri"/>
                <w:sz w:val="24"/>
                <w:szCs w:val="24"/>
              </w:rPr>
              <w:t>required to produce evidence of your professional registration on request.</w:t>
            </w:r>
          </w:p>
          <w:p w:rsidR="00DF266E" w:rsidRPr="002307DD" w:rsidRDefault="00DF266E" w:rsidP="002307DD">
            <w:pPr>
              <w:ind w:left="709" w:firstLine="11"/>
              <w:rPr>
                <w:rFonts w:ascii="Calibri" w:hAnsi="Calibri"/>
                <w:sz w:val="24"/>
                <w:szCs w:val="24"/>
              </w:rPr>
            </w:pPr>
          </w:p>
          <w:p w:rsidR="00DF266E" w:rsidRPr="002307DD" w:rsidRDefault="00DF266E" w:rsidP="002307DD">
            <w:pPr>
              <w:ind w:left="709" w:firstLine="11"/>
              <w:rPr>
                <w:rFonts w:ascii="Calibri" w:hAnsi="Calibri"/>
                <w:sz w:val="24"/>
                <w:szCs w:val="24"/>
              </w:rPr>
            </w:pPr>
            <w:r w:rsidRPr="002307DD">
              <w:rPr>
                <w:rFonts w:ascii="Calibri" w:hAnsi="Calibri"/>
                <w:sz w:val="24"/>
                <w:szCs w:val="24"/>
              </w:rPr>
              <w:t xml:space="preserve">You are responsible for ensuring that you abide by the Codes of Professional Practice relevant to your role. Failure to do so will result in formal investigation and action under the Trust's Disciplinary or Capability procedures.  </w:t>
            </w:r>
          </w:p>
          <w:p w:rsidR="00DF266E" w:rsidRPr="009B3E08" w:rsidRDefault="00DF266E" w:rsidP="001D2C22">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b/>
                <w:sz w:val="24"/>
                <w:szCs w:val="24"/>
              </w:rPr>
              <w:t>MEDICAL EXAMINATION</w:t>
            </w:r>
            <w:r w:rsidRPr="009B3E08">
              <w:rPr>
                <w:rFonts w:ascii="Calibri" w:hAnsi="Calibri"/>
                <w:sz w:val="24"/>
                <w:szCs w:val="24"/>
              </w:rPr>
              <w:t>:</w:t>
            </w:r>
          </w:p>
          <w:p w:rsidR="00DF266E" w:rsidRPr="009B3E08" w:rsidRDefault="00DF266E" w:rsidP="001D2C22">
            <w:pPr>
              <w:numPr>
                <w:ilvl w:val="0"/>
                <w:numId w:val="20"/>
              </w:numPr>
              <w:rPr>
                <w:rFonts w:ascii="Calibri" w:hAnsi="Calibri"/>
                <w:sz w:val="24"/>
                <w:szCs w:val="24"/>
              </w:rPr>
            </w:pPr>
            <w:r w:rsidRPr="009B3E08">
              <w:rPr>
                <w:rFonts w:ascii="Calibri" w:hAnsi="Calibri"/>
                <w:sz w:val="24"/>
                <w:szCs w:val="24"/>
              </w:rPr>
              <w:t xml:space="preserve">All initial appointments to the NHS are made subject to satisfactory medical evidence being produced. The employing Trust reserves the right to make any offer of appointment subject to the receipt of such medical evidence including a medical examination where this is deemed necessary. In the interest of all staff and patients, it may be desirable and necessary for periodic medical checks to be undertaken in addition to those on initial appointment. </w:t>
            </w:r>
          </w:p>
          <w:p w:rsidR="00DF266E" w:rsidRPr="009B3E08" w:rsidRDefault="00DF266E" w:rsidP="001D2C22">
            <w:pPr>
              <w:rPr>
                <w:rFonts w:ascii="Calibri" w:hAnsi="Calibri"/>
                <w:sz w:val="24"/>
                <w:szCs w:val="24"/>
              </w:rPr>
            </w:pPr>
          </w:p>
          <w:p w:rsidR="00DF266E" w:rsidRPr="009B3E08" w:rsidRDefault="00DF266E" w:rsidP="00F87CBD">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sz w:val="24"/>
                <w:szCs w:val="24"/>
              </w:rPr>
              <w:tab/>
              <w:t>The Trust is committed to providing safe and effective care for patients to ensure there is an agreed procedure for medical staff that enables them to report quickly and confidentially concerns about conduct, performance or health of medical colleagues (Chief Medical Officer, December 1996). All medical staff practicing in the Trust should ensure that they are familiar with the procedure and apply it.</w:t>
            </w:r>
          </w:p>
          <w:p w:rsidR="00DF266E" w:rsidRPr="009B3E08" w:rsidRDefault="00DF266E" w:rsidP="001D2C22">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b/>
                <w:sz w:val="24"/>
                <w:szCs w:val="24"/>
              </w:rPr>
              <w:t>REFERENCES</w:t>
            </w:r>
            <w:r w:rsidRPr="009B3E08">
              <w:rPr>
                <w:rFonts w:ascii="Calibri" w:hAnsi="Calibri"/>
                <w:sz w:val="24"/>
                <w:szCs w:val="24"/>
              </w:rPr>
              <w:t xml:space="preserve">: </w:t>
            </w:r>
          </w:p>
          <w:p w:rsidR="00DF266E" w:rsidRPr="009B3E08" w:rsidRDefault="00DF266E" w:rsidP="001D2C22">
            <w:pPr>
              <w:numPr>
                <w:ilvl w:val="0"/>
                <w:numId w:val="20"/>
              </w:numPr>
              <w:rPr>
                <w:rFonts w:ascii="Calibri" w:hAnsi="Calibri"/>
                <w:sz w:val="24"/>
                <w:szCs w:val="24"/>
              </w:rPr>
            </w:pPr>
            <w:r w:rsidRPr="009B3E08">
              <w:rPr>
                <w:rFonts w:ascii="Calibri" w:hAnsi="Calibri"/>
                <w:sz w:val="24"/>
                <w:szCs w:val="24"/>
              </w:rPr>
              <w:t>All staff appointments are made subject to the rece</w:t>
            </w:r>
            <w:r>
              <w:rPr>
                <w:rFonts w:ascii="Calibri" w:hAnsi="Calibri"/>
                <w:sz w:val="24"/>
                <w:szCs w:val="24"/>
              </w:rPr>
              <w:t>ipt of satisfactory references to the Trust.</w:t>
            </w:r>
          </w:p>
          <w:p w:rsidR="00DF266E" w:rsidRPr="009B3E08" w:rsidRDefault="00DF266E" w:rsidP="00F87CBD">
            <w:pPr>
              <w:ind w:left="720" w:hanging="720"/>
              <w:rPr>
                <w:rFonts w:ascii="Calibri" w:hAnsi="Calibri"/>
                <w:sz w:val="24"/>
                <w:szCs w:val="24"/>
              </w:rPr>
            </w:pPr>
            <w:r w:rsidRPr="009B3E08">
              <w:rPr>
                <w:rFonts w:ascii="Calibri" w:hAnsi="Calibri"/>
                <w:sz w:val="24"/>
                <w:szCs w:val="24"/>
              </w:rPr>
              <w:t xml:space="preserve"> </w:t>
            </w:r>
            <w:r w:rsidRPr="009B3E08">
              <w:rPr>
                <w:rFonts w:ascii="Calibri" w:hAnsi="Calibri"/>
                <w:sz w:val="24"/>
                <w:szCs w:val="24"/>
              </w:rPr>
              <w:tab/>
              <w:t xml:space="preserve">It is every employee’s duty to adhere to the Trust’s Policy on Fire Prevention and Health and Safety. </w:t>
            </w:r>
          </w:p>
          <w:p w:rsidR="00DF266E" w:rsidRPr="009B3E08" w:rsidRDefault="00DF266E" w:rsidP="001D2C22">
            <w:pPr>
              <w:rPr>
                <w:rFonts w:ascii="Calibri" w:hAnsi="Calibri"/>
                <w:sz w:val="24"/>
                <w:szCs w:val="24"/>
              </w:rPr>
            </w:pPr>
            <w:r w:rsidRPr="009B3E08">
              <w:rPr>
                <w:rFonts w:ascii="Calibri" w:hAnsi="Calibri"/>
                <w:sz w:val="24"/>
                <w:szCs w:val="24"/>
              </w:rPr>
              <w:t xml:space="preserve"> </w:t>
            </w:r>
            <w:r w:rsidRPr="009B3E08">
              <w:rPr>
                <w:rFonts w:ascii="Calibri" w:hAnsi="Calibri"/>
                <w:b/>
                <w:sz w:val="24"/>
                <w:szCs w:val="24"/>
              </w:rPr>
              <w:t xml:space="preserve">HEALTH &amp; SAFETY </w:t>
            </w:r>
          </w:p>
          <w:p w:rsidR="00DF266E" w:rsidRPr="00F87CBD" w:rsidRDefault="00DF266E" w:rsidP="00F87CBD">
            <w:pPr>
              <w:numPr>
                <w:ilvl w:val="0"/>
                <w:numId w:val="20"/>
              </w:numPr>
              <w:rPr>
                <w:rFonts w:ascii="Calibri" w:hAnsi="Calibri"/>
                <w:sz w:val="24"/>
                <w:szCs w:val="24"/>
              </w:rPr>
            </w:pPr>
            <w:r w:rsidRPr="009B3E08">
              <w:rPr>
                <w:rFonts w:ascii="Calibri" w:hAnsi="Calibri"/>
                <w:sz w:val="24"/>
                <w:szCs w:val="24"/>
              </w:rPr>
              <w:lastRenderedPageBreak/>
              <w:t xml:space="preserve">In carrying out their duties, the employee is required to take reasonable care to avoid injury or accident which may be caused by work. These duties must be performed in accordance with departmental guidelines which is designed to secure safety in work practices and in the handling of materials and equipment. </w:t>
            </w:r>
          </w:p>
          <w:p w:rsidR="00DF266E" w:rsidRPr="00C4134A" w:rsidRDefault="00DF266E" w:rsidP="001D2C22">
            <w:pPr>
              <w:pStyle w:val="bodytext"/>
              <w:rPr>
                <w:rFonts w:ascii="Calibri" w:hAnsi="Calibri"/>
                <w:b/>
                <w:szCs w:val="24"/>
              </w:rPr>
            </w:pPr>
            <w:r w:rsidRPr="00C4134A">
              <w:rPr>
                <w:rFonts w:ascii="Calibri" w:hAnsi="Calibri"/>
                <w:b/>
                <w:szCs w:val="24"/>
              </w:rPr>
              <w:t>INFECTION CONTROL</w:t>
            </w:r>
          </w:p>
          <w:p w:rsidR="00DF266E" w:rsidRPr="009B3E08" w:rsidRDefault="00DF266E" w:rsidP="001D2C22">
            <w:pPr>
              <w:pStyle w:val="bodytext"/>
              <w:rPr>
                <w:szCs w:val="24"/>
              </w:rPr>
            </w:pPr>
          </w:p>
          <w:p w:rsidR="00DF266E" w:rsidRPr="009B3E08" w:rsidRDefault="00DF266E" w:rsidP="001D2C22">
            <w:pPr>
              <w:numPr>
                <w:ilvl w:val="0"/>
                <w:numId w:val="20"/>
              </w:numPr>
              <w:rPr>
                <w:rFonts w:ascii="Calibri" w:hAnsi="Calibri"/>
                <w:sz w:val="24"/>
                <w:szCs w:val="24"/>
              </w:rPr>
            </w:pPr>
            <w:r w:rsidRPr="009B3E08">
              <w:rPr>
                <w:rFonts w:ascii="Calibri" w:hAnsi="Calibri"/>
                <w:sz w:val="24"/>
                <w:szCs w:val="24"/>
              </w:rPr>
              <w:t>Ensure safe practice to minimize the risks of infection to patients and staff in accordance with national and Trust policy, in particular to be aware of responsibilities as listed in the Infection Control Operational Policy.</w:t>
            </w:r>
          </w:p>
          <w:p w:rsidR="00DF266E" w:rsidRPr="009B3E08" w:rsidRDefault="00DF266E">
            <w:pPr>
              <w:pStyle w:val="bodytext"/>
              <w:rPr>
                <w:szCs w:val="24"/>
              </w:rPr>
            </w:pPr>
          </w:p>
        </w:tc>
      </w:tr>
    </w:tbl>
    <w:p w:rsidR="00DF266E" w:rsidRDefault="00DF266E">
      <w:pPr>
        <w:pStyle w:val="bodytext"/>
        <w:rPr>
          <w:szCs w:val="24"/>
        </w:rPr>
      </w:pPr>
    </w:p>
    <w:p w:rsidR="00DF266E" w:rsidRPr="009B3E08" w:rsidRDefault="00DF266E">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 xml:space="preserve">4. </w:t>
            </w:r>
            <w:proofErr w:type="spellStart"/>
            <w:r w:rsidRPr="009B3E08">
              <w:rPr>
                <w:szCs w:val="24"/>
              </w:rPr>
              <w:t>Organisational</w:t>
            </w:r>
            <w:proofErr w:type="spellEnd"/>
            <w:r w:rsidRPr="009B3E08">
              <w:rPr>
                <w:szCs w:val="24"/>
              </w:rPr>
              <w:t xml:space="preserve"> Chart</w:t>
            </w:r>
          </w:p>
        </w:tc>
      </w:tr>
      <w:tr w:rsidR="00DF266E" w:rsidRPr="009B3E08">
        <w:tc>
          <w:tcPr>
            <w:tcW w:w="9286" w:type="dxa"/>
          </w:tcPr>
          <w:p w:rsidR="00DF266E" w:rsidRPr="009B3E08" w:rsidRDefault="00DF266E" w:rsidP="00944290">
            <w:pPr>
              <w:pStyle w:val="bodytext"/>
              <w:rPr>
                <w:szCs w:val="24"/>
              </w:rPr>
            </w:pPr>
          </w:p>
          <w:p w:rsidR="00DF266E" w:rsidRPr="00944290" w:rsidRDefault="00DF266E" w:rsidP="00944290">
            <w:pPr>
              <w:rPr>
                <w:rFonts w:ascii="Calibri" w:hAnsi="Calibri"/>
                <w:sz w:val="24"/>
                <w:szCs w:val="24"/>
              </w:rPr>
            </w:pPr>
            <w:r w:rsidRPr="00944290">
              <w:rPr>
                <w:rFonts w:ascii="Calibri" w:hAnsi="Calibri"/>
                <w:b/>
                <w:sz w:val="24"/>
                <w:szCs w:val="24"/>
              </w:rPr>
              <w:t>THE MEDICAL UNIT STAFF</w:t>
            </w:r>
            <w:r w:rsidRPr="00944290">
              <w:rPr>
                <w:rFonts w:ascii="Calibri" w:hAnsi="Calibri"/>
                <w:sz w:val="24"/>
                <w:szCs w:val="24"/>
              </w:rPr>
              <w:t xml:space="preserve"> :</w:t>
            </w:r>
          </w:p>
          <w:p w:rsidR="000976F0" w:rsidRPr="00B25194" w:rsidRDefault="000976F0" w:rsidP="000976F0">
            <w:pPr>
              <w:tabs>
                <w:tab w:val="left" w:pos="3390"/>
              </w:tabs>
              <w:rPr>
                <w:rFonts w:asciiTheme="minorHAnsi" w:hAnsiTheme="minorHAnsi" w:cstheme="minorHAnsi"/>
                <w:b/>
                <w:szCs w:val="24"/>
              </w:rPr>
            </w:pPr>
            <w:r w:rsidRPr="00B25194">
              <w:rPr>
                <w:rFonts w:asciiTheme="minorHAnsi" w:hAnsiTheme="minorHAnsi" w:cstheme="minorHAnsi"/>
                <w:b/>
                <w:szCs w:val="24"/>
              </w:rPr>
              <w:t>CONSULTANT</w:t>
            </w:r>
            <w:r w:rsidRPr="00B25194">
              <w:rPr>
                <w:rFonts w:asciiTheme="minorHAnsi" w:hAnsiTheme="minorHAnsi" w:cstheme="minorHAnsi"/>
                <w:b/>
                <w:szCs w:val="24"/>
              </w:rPr>
              <w:tab/>
              <w:t>SPECIALIST INTEREST</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Dr George Hands</w:t>
            </w:r>
            <w:r w:rsidRPr="00B25194">
              <w:rPr>
                <w:rFonts w:asciiTheme="minorHAnsi" w:hAnsiTheme="minorHAnsi" w:cstheme="minorHAnsi"/>
                <w:szCs w:val="24"/>
              </w:rPr>
              <w:tab/>
              <w:t>Respiratory &amp; General Medicine</w:t>
            </w:r>
            <w:r>
              <w:rPr>
                <w:rFonts w:asciiTheme="minorHAnsi" w:hAnsiTheme="minorHAnsi" w:cstheme="minorHAnsi"/>
                <w:szCs w:val="24"/>
              </w:rPr>
              <w:t>,</w:t>
            </w:r>
            <w:r w:rsidRPr="00B25194">
              <w:rPr>
                <w:rFonts w:asciiTheme="minorHAnsi" w:hAnsiTheme="minorHAnsi" w:cstheme="minorHAnsi"/>
                <w:szCs w:val="24"/>
              </w:rPr>
              <w:t xml:space="preserve"> </w:t>
            </w:r>
            <w:r>
              <w:rPr>
                <w:rFonts w:asciiTheme="minorHAnsi" w:hAnsiTheme="minorHAnsi" w:cstheme="minorHAnsi"/>
                <w:szCs w:val="24"/>
              </w:rPr>
              <w:t>AMD</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Dr Alison Moody</w:t>
            </w:r>
            <w:r w:rsidRPr="00B25194">
              <w:rPr>
                <w:rFonts w:asciiTheme="minorHAnsi" w:hAnsiTheme="minorHAnsi" w:cstheme="minorHAnsi"/>
                <w:szCs w:val="24"/>
              </w:rPr>
              <w:tab/>
              <w:t>Respiratory &amp; General Medicine, TPD Medicine</w:t>
            </w:r>
            <w:r>
              <w:rPr>
                <w:rFonts w:asciiTheme="minorHAnsi" w:hAnsiTheme="minorHAnsi" w:cstheme="minorHAnsi"/>
                <w:szCs w:val="24"/>
              </w:rPr>
              <w:t>, MAU Lead</w:t>
            </w:r>
          </w:p>
          <w:p w:rsidR="00E72E7D"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 xml:space="preserve">Dr Jareer Raza </w:t>
            </w:r>
            <w:r w:rsidRPr="00B25194">
              <w:rPr>
                <w:rFonts w:asciiTheme="minorHAnsi" w:hAnsiTheme="minorHAnsi" w:cstheme="minorHAnsi"/>
                <w:szCs w:val="24"/>
              </w:rPr>
              <w:tab/>
              <w:t>Respiratory &amp; General Medicine</w:t>
            </w:r>
          </w:p>
          <w:p w:rsidR="00E72E7D" w:rsidRPr="00B25194" w:rsidRDefault="00E72E7D" w:rsidP="00E72E7D">
            <w:pPr>
              <w:tabs>
                <w:tab w:val="left" w:pos="3390"/>
              </w:tabs>
              <w:rPr>
                <w:rFonts w:asciiTheme="minorHAnsi" w:hAnsiTheme="minorHAnsi" w:cstheme="minorHAnsi"/>
                <w:szCs w:val="24"/>
              </w:rPr>
            </w:pPr>
            <w:r>
              <w:rPr>
                <w:rFonts w:asciiTheme="minorHAnsi" w:hAnsiTheme="minorHAnsi" w:cstheme="minorHAnsi"/>
                <w:szCs w:val="24"/>
              </w:rPr>
              <w:t>Dr Tom Whitehead                                        Respiratory &amp; General Medicine</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Dr Andrew Davis</w:t>
            </w:r>
            <w:r w:rsidRPr="00B25194">
              <w:rPr>
                <w:rFonts w:asciiTheme="minorHAnsi" w:hAnsiTheme="minorHAnsi" w:cstheme="minorHAnsi"/>
                <w:szCs w:val="24"/>
              </w:rPr>
              <w:tab/>
              <w:t>Gast</w:t>
            </w:r>
            <w:r>
              <w:rPr>
                <w:rFonts w:asciiTheme="minorHAnsi" w:hAnsiTheme="minorHAnsi" w:cstheme="minorHAnsi"/>
                <w:szCs w:val="24"/>
              </w:rPr>
              <w:t>roenterology &amp; General Medicine</w:t>
            </w:r>
            <w:r w:rsidRPr="00B25194">
              <w:rPr>
                <w:rFonts w:asciiTheme="minorHAnsi" w:hAnsiTheme="minorHAnsi" w:cstheme="minorHAnsi"/>
                <w:szCs w:val="24"/>
              </w:rPr>
              <w:tab/>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 xml:space="preserve">Dr Alex Moran </w:t>
            </w:r>
            <w:r>
              <w:rPr>
                <w:rFonts w:asciiTheme="minorHAnsi" w:hAnsiTheme="minorHAnsi" w:cstheme="minorHAnsi"/>
                <w:szCs w:val="24"/>
              </w:rPr>
              <w:t>(part time)</w:t>
            </w:r>
            <w:r w:rsidRPr="00B25194">
              <w:rPr>
                <w:rFonts w:asciiTheme="minorHAnsi" w:hAnsiTheme="minorHAnsi" w:cstheme="minorHAnsi"/>
                <w:szCs w:val="24"/>
              </w:rPr>
              <w:tab/>
              <w:t>Gastroenterology, BSCP Lead</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Dr Stuart Kyle</w:t>
            </w:r>
            <w:r w:rsidRPr="00B25194">
              <w:rPr>
                <w:rFonts w:asciiTheme="minorHAnsi" w:hAnsiTheme="minorHAnsi" w:cstheme="minorHAnsi"/>
                <w:szCs w:val="24"/>
              </w:rPr>
              <w:tab/>
              <w:t>Rheumatology</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 xml:space="preserve">Dr Roope </w:t>
            </w:r>
            <w:proofErr w:type="spellStart"/>
            <w:r w:rsidRPr="00B25194">
              <w:rPr>
                <w:rFonts w:asciiTheme="minorHAnsi" w:hAnsiTheme="minorHAnsi" w:cstheme="minorHAnsi"/>
                <w:szCs w:val="24"/>
              </w:rPr>
              <w:t>Manhas</w:t>
            </w:r>
            <w:proofErr w:type="spellEnd"/>
            <w:r w:rsidRPr="00B25194">
              <w:rPr>
                <w:rFonts w:asciiTheme="minorHAnsi" w:hAnsiTheme="minorHAnsi" w:cstheme="minorHAnsi"/>
                <w:szCs w:val="24"/>
              </w:rPr>
              <w:tab/>
              <w:t>Rheumatology &amp; General Medicine</w:t>
            </w:r>
            <w:r w:rsidRPr="00B25194">
              <w:rPr>
                <w:rFonts w:asciiTheme="minorHAnsi" w:hAnsiTheme="minorHAnsi" w:cstheme="minorHAnsi"/>
                <w:szCs w:val="24"/>
              </w:rPr>
              <w:tab/>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Dr Chris Gibbs</w:t>
            </w:r>
            <w:r w:rsidRPr="00B25194">
              <w:rPr>
                <w:rFonts w:asciiTheme="minorHAnsi" w:hAnsiTheme="minorHAnsi" w:cstheme="minorHAnsi"/>
                <w:szCs w:val="24"/>
              </w:rPr>
              <w:tab/>
              <w:t>Cardiology &amp; General Medicine</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 xml:space="preserve">Dr Dushen </w:t>
            </w:r>
            <w:proofErr w:type="spellStart"/>
            <w:r w:rsidRPr="00B25194">
              <w:rPr>
                <w:rFonts w:asciiTheme="minorHAnsi" w:hAnsiTheme="minorHAnsi" w:cstheme="minorHAnsi"/>
                <w:szCs w:val="24"/>
              </w:rPr>
              <w:t>Tharmaratnam</w:t>
            </w:r>
            <w:proofErr w:type="spellEnd"/>
            <w:r w:rsidRPr="00B25194">
              <w:rPr>
                <w:rFonts w:asciiTheme="minorHAnsi" w:hAnsiTheme="minorHAnsi" w:cstheme="minorHAnsi"/>
                <w:szCs w:val="24"/>
              </w:rPr>
              <w:tab/>
              <w:t>Cardiology</w:t>
            </w:r>
          </w:p>
          <w:p w:rsidR="00E72E7D"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Dr Rahul Potluri</w:t>
            </w:r>
            <w:r>
              <w:rPr>
                <w:rFonts w:asciiTheme="minorHAnsi" w:hAnsiTheme="minorHAnsi" w:cstheme="minorHAnsi"/>
                <w:szCs w:val="24"/>
              </w:rPr>
              <w:t xml:space="preserve">                                              Cardiology </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Dr Ashok </w:t>
            </w:r>
            <w:proofErr w:type="spellStart"/>
            <w:r>
              <w:rPr>
                <w:rFonts w:asciiTheme="minorHAnsi" w:hAnsiTheme="minorHAnsi" w:cstheme="minorHAnsi"/>
                <w:szCs w:val="24"/>
              </w:rPr>
              <w:t>Tahilyani</w:t>
            </w:r>
            <w:proofErr w:type="spellEnd"/>
            <w:r>
              <w:rPr>
                <w:rFonts w:asciiTheme="minorHAnsi" w:hAnsiTheme="minorHAnsi" w:cstheme="minorHAnsi"/>
                <w:szCs w:val="24"/>
              </w:rPr>
              <w:t xml:space="preserve"> </w:t>
            </w:r>
            <w:r w:rsidRPr="00B25194">
              <w:rPr>
                <w:rFonts w:asciiTheme="minorHAnsi" w:hAnsiTheme="minorHAnsi" w:cstheme="minorHAnsi"/>
                <w:szCs w:val="24"/>
              </w:rPr>
              <w:t xml:space="preserve">                                 </w:t>
            </w:r>
            <w:r>
              <w:rPr>
                <w:rFonts w:asciiTheme="minorHAnsi" w:hAnsiTheme="minorHAnsi" w:cstheme="minorHAnsi"/>
                <w:szCs w:val="24"/>
              </w:rPr>
              <w:t xml:space="preserve"> </w:t>
            </w:r>
            <w:r w:rsidRPr="00B25194">
              <w:rPr>
                <w:rFonts w:asciiTheme="minorHAnsi" w:hAnsiTheme="minorHAnsi" w:cstheme="minorHAnsi"/>
                <w:szCs w:val="24"/>
              </w:rPr>
              <w:t xml:space="preserve"> </w:t>
            </w:r>
            <w:r>
              <w:rPr>
                <w:rFonts w:asciiTheme="minorHAnsi" w:hAnsiTheme="minorHAnsi" w:cstheme="minorHAnsi"/>
                <w:szCs w:val="24"/>
              </w:rPr>
              <w:t xml:space="preserve">     </w:t>
            </w:r>
            <w:r w:rsidRPr="00B25194">
              <w:rPr>
                <w:rFonts w:asciiTheme="minorHAnsi" w:hAnsiTheme="minorHAnsi" w:cstheme="minorHAnsi"/>
                <w:szCs w:val="24"/>
              </w:rPr>
              <w:t xml:space="preserve">Cardiology </w:t>
            </w:r>
            <w:r>
              <w:rPr>
                <w:rFonts w:asciiTheme="minorHAnsi" w:hAnsiTheme="minorHAnsi" w:cstheme="minorHAnsi"/>
                <w:szCs w:val="24"/>
              </w:rPr>
              <w:t xml:space="preserve">&amp; General Medicine </w:t>
            </w:r>
          </w:p>
          <w:p w:rsidR="00E72E7D" w:rsidRPr="00B25194" w:rsidRDefault="00E72E7D" w:rsidP="00E72E7D">
            <w:pPr>
              <w:tabs>
                <w:tab w:val="left" w:pos="3390"/>
              </w:tabs>
              <w:rPr>
                <w:rFonts w:asciiTheme="minorHAnsi" w:hAnsiTheme="minorHAnsi" w:cstheme="minorHAnsi"/>
                <w:szCs w:val="24"/>
              </w:rPr>
            </w:pPr>
            <w:r>
              <w:rPr>
                <w:rFonts w:asciiTheme="minorHAnsi" w:hAnsiTheme="minorHAnsi" w:cstheme="minorHAnsi"/>
                <w:szCs w:val="24"/>
              </w:rPr>
              <w:t>Dr Bill Lusty                                                     General Medicine</w:t>
            </w:r>
          </w:p>
          <w:p w:rsidR="00E72E7D"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 xml:space="preserve">Dr Magdalena </w:t>
            </w:r>
            <w:proofErr w:type="spellStart"/>
            <w:r w:rsidRPr="00B25194">
              <w:rPr>
                <w:rFonts w:asciiTheme="minorHAnsi" w:hAnsiTheme="minorHAnsi" w:cstheme="minorHAnsi"/>
                <w:szCs w:val="24"/>
              </w:rPr>
              <w:t>Stojakowsak</w:t>
            </w:r>
            <w:proofErr w:type="spellEnd"/>
            <w:r w:rsidRPr="00B25194">
              <w:rPr>
                <w:rFonts w:asciiTheme="minorHAnsi" w:hAnsiTheme="minorHAnsi" w:cstheme="minorHAnsi"/>
                <w:szCs w:val="24"/>
              </w:rPr>
              <w:t xml:space="preserve">            </w:t>
            </w:r>
            <w:r>
              <w:rPr>
                <w:rFonts w:asciiTheme="minorHAnsi" w:hAnsiTheme="minorHAnsi" w:cstheme="minorHAnsi"/>
                <w:szCs w:val="24"/>
              </w:rPr>
              <w:t xml:space="preserve">         </w:t>
            </w:r>
            <w:r w:rsidRPr="00B25194">
              <w:rPr>
                <w:rFonts w:asciiTheme="minorHAnsi" w:hAnsiTheme="minorHAnsi" w:cstheme="minorHAnsi"/>
                <w:szCs w:val="24"/>
              </w:rPr>
              <w:t xml:space="preserve">  </w:t>
            </w:r>
            <w:r>
              <w:rPr>
                <w:rFonts w:asciiTheme="minorHAnsi" w:hAnsiTheme="minorHAnsi" w:cstheme="minorHAnsi"/>
                <w:szCs w:val="24"/>
              </w:rPr>
              <w:t xml:space="preserve">   </w:t>
            </w:r>
            <w:r w:rsidRPr="00B25194">
              <w:rPr>
                <w:rFonts w:asciiTheme="minorHAnsi" w:hAnsiTheme="minorHAnsi" w:cstheme="minorHAnsi"/>
                <w:szCs w:val="24"/>
              </w:rPr>
              <w:t>Nephrology &amp; General Medicine</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Dr Sean Noronha (locum)                             Diabetes and Endocrinology</w:t>
            </w:r>
          </w:p>
          <w:p w:rsidR="00E72E7D" w:rsidRPr="00B25194"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Dr Archana </w:t>
            </w:r>
            <w:proofErr w:type="spellStart"/>
            <w:r>
              <w:rPr>
                <w:rFonts w:asciiTheme="minorHAnsi" w:hAnsiTheme="minorHAnsi" w:cstheme="minorHAnsi"/>
                <w:szCs w:val="24"/>
              </w:rPr>
              <w:t>Dhere</w:t>
            </w:r>
            <w:proofErr w:type="spellEnd"/>
            <w:r>
              <w:rPr>
                <w:rFonts w:asciiTheme="minorHAnsi" w:hAnsiTheme="minorHAnsi" w:cstheme="minorHAnsi"/>
                <w:szCs w:val="24"/>
              </w:rPr>
              <w:t xml:space="preserve"> (locum)                            Diabetes and Endocrinology</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Dr Mike Jeffreys (part </w:t>
            </w:r>
            <w:proofErr w:type="gramStart"/>
            <w:r>
              <w:rPr>
                <w:rFonts w:asciiTheme="minorHAnsi" w:hAnsiTheme="minorHAnsi" w:cstheme="minorHAnsi"/>
                <w:szCs w:val="24"/>
              </w:rPr>
              <w:t>time)</w:t>
            </w:r>
            <w:r w:rsidRPr="00B25194">
              <w:rPr>
                <w:rFonts w:asciiTheme="minorHAnsi" w:hAnsiTheme="minorHAnsi" w:cstheme="minorHAnsi"/>
                <w:szCs w:val="24"/>
              </w:rPr>
              <w:t xml:space="preserve">   </w:t>
            </w:r>
            <w:proofErr w:type="gramEnd"/>
            <w:r w:rsidRPr="00B25194">
              <w:rPr>
                <w:rFonts w:asciiTheme="minorHAnsi" w:hAnsiTheme="minorHAnsi" w:cstheme="minorHAnsi"/>
                <w:szCs w:val="24"/>
              </w:rPr>
              <w:t xml:space="preserve">          </w:t>
            </w:r>
            <w:r>
              <w:rPr>
                <w:rFonts w:asciiTheme="minorHAnsi" w:hAnsiTheme="minorHAnsi" w:cstheme="minorHAnsi"/>
                <w:szCs w:val="24"/>
              </w:rPr>
              <w:t xml:space="preserve">            </w:t>
            </w:r>
            <w:r w:rsidRPr="00B25194">
              <w:rPr>
                <w:rFonts w:asciiTheme="minorHAnsi" w:hAnsiTheme="minorHAnsi" w:cstheme="minorHAnsi"/>
                <w:szCs w:val="24"/>
              </w:rPr>
              <w:t>Care of the Elderly &amp; Acute Medicine</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Dr Jay Reynolds (</w:t>
            </w:r>
            <w:proofErr w:type="gramStart"/>
            <w:r>
              <w:rPr>
                <w:rFonts w:asciiTheme="minorHAnsi" w:hAnsiTheme="minorHAnsi" w:cstheme="minorHAnsi"/>
                <w:szCs w:val="24"/>
              </w:rPr>
              <w:t xml:space="preserve">Locum)   </w:t>
            </w:r>
            <w:proofErr w:type="gramEnd"/>
            <w:r>
              <w:rPr>
                <w:rFonts w:asciiTheme="minorHAnsi" w:hAnsiTheme="minorHAnsi" w:cstheme="minorHAnsi"/>
                <w:szCs w:val="24"/>
              </w:rPr>
              <w:t xml:space="preserve">                            Healthcare for the Older Person </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Dr Bogdan </w:t>
            </w:r>
            <w:proofErr w:type="spellStart"/>
            <w:r>
              <w:rPr>
                <w:rFonts w:asciiTheme="minorHAnsi" w:hAnsiTheme="minorHAnsi" w:cstheme="minorHAnsi"/>
                <w:szCs w:val="24"/>
              </w:rPr>
              <w:t>Pello</w:t>
            </w:r>
            <w:proofErr w:type="spellEnd"/>
            <w:r>
              <w:rPr>
                <w:rFonts w:asciiTheme="minorHAnsi" w:hAnsiTheme="minorHAnsi" w:cstheme="minorHAnsi"/>
                <w:szCs w:val="24"/>
              </w:rPr>
              <w:t xml:space="preserve"> (Locum)                               General Medicine</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Dr Awad </w:t>
            </w:r>
            <w:proofErr w:type="spellStart"/>
            <w:r>
              <w:rPr>
                <w:rFonts w:asciiTheme="minorHAnsi" w:hAnsiTheme="minorHAnsi" w:cstheme="minorHAnsi"/>
                <w:szCs w:val="24"/>
              </w:rPr>
              <w:t>Abdelrazig</w:t>
            </w:r>
            <w:proofErr w:type="spellEnd"/>
            <w:r>
              <w:rPr>
                <w:rFonts w:asciiTheme="minorHAnsi" w:hAnsiTheme="minorHAnsi" w:cstheme="minorHAnsi"/>
                <w:szCs w:val="24"/>
              </w:rPr>
              <w:t xml:space="preserve"> (Locum)                        General Medicine </w:t>
            </w:r>
          </w:p>
          <w:p w:rsidR="00E72E7D" w:rsidRPr="00B25194"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Dr Petros </w:t>
            </w:r>
            <w:proofErr w:type="spellStart"/>
            <w:r w:rsidRPr="00094066">
              <w:rPr>
                <w:rFonts w:asciiTheme="minorHAnsi" w:hAnsiTheme="minorHAnsi" w:cstheme="minorHAnsi"/>
                <w:szCs w:val="24"/>
              </w:rPr>
              <w:t>Tzavaras</w:t>
            </w:r>
            <w:proofErr w:type="spellEnd"/>
            <w:r>
              <w:rPr>
                <w:rFonts w:asciiTheme="minorHAnsi" w:hAnsiTheme="minorHAnsi" w:cstheme="minorHAnsi"/>
                <w:szCs w:val="24"/>
              </w:rPr>
              <w:t xml:space="preserve"> (Locum)                          General Medicine </w:t>
            </w:r>
          </w:p>
          <w:p w:rsidR="00E72E7D" w:rsidRPr="00B25194" w:rsidRDefault="00E72E7D" w:rsidP="00E72E7D">
            <w:pPr>
              <w:tabs>
                <w:tab w:val="left" w:pos="3402"/>
              </w:tabs>
              <w:rPr>
                <w:rFonts w:asciiTheme="minorHAnsi" w:hAnsiTheme="minorHAnsi" w:cstheme="minorHAnsi"/>
                <w:szCs w:val="24"/>
              </w:rPr>
            </w:pPr>
            <w:r w:rsidRPr="00B25194">
              <w:rPr>
                <w:rFonts w:asciiTheme="minorHAnsi" w:hAnsiTheme="minorHAnsi" w:cstheme="minorHAnsi"/>
                <w:szCs w:val="24"/>
              </w:rPr>
              <w:t>Visiting Consultant</w:t>
            </w:r>
            <w:r>
              <w:rPr>
                <w:rFonts w:asciiTheme="minorHAnsi" w:hAnsiTheme="minorHAnsi" w:cstheme="minorHAnsi"/>
                <w:szCs w:val="24"/>
              </w:rPr>
              <w:t>s</w:t>
            </w:r>
            <w:r w:rsidRPr="00B25194">
              <w:rPr>
                <w:rFonts w:asciiTheme="minorHAnsi" w:hAnsiTheme="minorHAnsi" w:cstheme="minorHAnsi"/>
                <w:szCs w:val="24"/>
              </w:rPr>
              <w:tab/>
              <w:t>Hematology</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ab/>
              <w:t>Oncology</w:t>
            </w:r>
          </w:p>
          <w:p w:rsidR="00E72E7D" w:rsidRPr="00B25194"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ab/>
              <w:t>Nephrology</w:t>
            </w:r>
          </w:p>
          <w:p w:rsidR="00E72E7D" w:rsidRDefault="00E72E7D" w:rsidP="00E72E7D">
            <w:pPr>
              <w:tabs>
                <w:tab w:val="left" w:pos="3390"/>
              </w:tabs>
              <w:rPr>
                <w:rFonts w:asciiTheme="minorHAnsi" w:hAnsiTheme="minorHAnsi" w:cstheme="minorHAnsi"/>
                <w:szCs w:val="24"/>
              </w:rPr>
            </w:pPr>
            <w:r w:rsidRPr="00B25194">
              <w:rPr>
                <w:rFonts w:asciiTheme="minorHAnsi" w:hAnsiTheme="minorHAnsi" w:cstheme="minorHAnsi"/>
                <w:szCs w:val="24"/>
              </w:rPr>
              <w:tab/>
              <w:t>Neurology</w:t>
            </w:r>
          </w:p>
          <w:p w:rsidR="00E72E7D" w:rsidRDefault="00E72E7D" w:rsidP="00E72E7D">
            <w:pPr>
              <w:tabs>
                <w:tab w:val="left" w:pos="3390"/>
              </w:tabs>
              <w:rPr>
                <w:rFonts w:asciiTheme="minorHAnsi" w:hAnsiTheme="minorHAnsi" w:cstheme="minorHAnsi"/>
                <w:szCs w:val="24"/>
              </w:rPr>
            </w:pPr>
            <w:r>
              <w:rPr>
                <w:rFonts w:asciiTheme="minorHAnsi" w:hAnsiTheme="minorHAnsi" w:cstheme="minorHAnsi"/>
                <w:szCs w:val="24"/>
              </w:rPr>
              <w:t xml:space="preserve">                                                                           Gastroenterology (RD&amp;E)</w:t>
            </w:r>
            <w:r>
              <w:rPr>
                <w:rFonts w:asciiTheme="minorHAnsi" w:hAnsiTheme="minorHAnsi" w:cstheme="minorHAnsi"/>
                <w:szCs w:val="24"/>
              </w:rPr>
              <w:br/>
              <w:t xml:space="preserve">                                                                           </w:t>
            </w:r>
            <w:proofErr w:type="spellStart"/>
            <w:r>
              <w:rPr>
                <w:rFonts w:asciiTheme="minorHAnsi" w:hAnsiTheme="minorHAnsi" w:cstheme="minorHAnsi"/>
                <w:szCs w:val="24"/>
              </w:rPr>
              <w:t>HfOP</w:t>
            </w:r>
            <w:proofErr w:type="spellEnd"/>
            <w:r>
              <w:rPr>
                <w:rFonts w:asciiTheme="minorHAnsi" w:hAnsiTheme="minorHAnsi" w:cstheme="minorHAnsi"/>
                <w:szCs w:val="24"/>
              </w:rPr>
              <w:t xml:space="preserve"> (RD&amp;E)</w:t>
            </w:r>
          </w:p>
          <w:p w:rsidR="00DF266E" w:rsidRPr="009B3E08" w:rsidRDefault="00E72E7D" w:rsidP="00E72E7D">
            <w:pPr>
              <w:rPr>
                <w:szCs w:val="24"/>
              </w:rPr>
            </w:pPr>
            <w:r>
              <w:rPr>
                <w:rFonts w:asciiTheme="minorHAnsi" w:hAnsiTheme="minorHAnsi" w:cstheme="minorHAnsi"/>
                <w:szCs w:val="24"/>
              </w:rPr>
              <w:t xml:space="preserve">                                                                          General Medicine (RD&amp;E)</w:t>
            </w:r>
          </w:p>
        </w:tc>
      </w:tr>
      <w:tr w:rsidR="00825BE1" w:rsidRPr="009B3E08">
        <w:tc>
          <w:tcPr>
            <w:tcW w:w="9286" w:type="dxa"/>
          </w:tcPr>
          <w:p w:rsidR="00825BE1" w:rsidRPr="009B3E08" w:rsidRDefault="00825BE1" w:rsidP="00944290">
            <w:pPr>
              <w:pStyle w:val="bodytext"/>
              <w:rPr>
                <w:szCs w:val="24"/>
              </w:rPr>
            </w:pPr>
          </w:p>
        </w:tc>
      </w:tr>
    </w:tbl>
    <w:p w:rsidR="00DF266E" w:rsidRDefault="00DF266E">
      <w:pPr>
        <w:pStyle w:val="bodytext"/>
        <w:rPr>
          <w:szCs w:val="24"/>
        </w:rPr>
      </w:pPr>
    </w:p>
    <w:p w:rsidR="000976F0" w:rsidRDefault="000976F0">
      <w:pPr>
        <w:pStyle w:val="bodytext"/>
        <w:rPr>
          <w:szCs w:val="24"/>
        </w:rPr>
      </w:pPr>
    </w:p>
    <w:p w:rsidR="000976F0" w:rsidRDefault="000976F0">
      <w:pPr>
        <w:pStyle w:val="bodytext"/>
        <w:rPr>
          <w:szCs w:val="24"/>
        </w:rPr>
      </w:pPr>
    </w:p>
    <w:p w:rsidR="000976F0" w:rsidRPr="009B3E08" w:rsidRDefault="000976F0">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 xml:space="preserve">5. </w:t>
            </w:r>
            <w:smartTag w:uri="urn:schemas-microsoft-com:office:smarttags" w:element="place">
              <w:r w:rsidRPr="009B3E08">
                <w:rPr>
                  <w:szCs w:val="24"/>
                </w:rPr>
                <w:t>Main</w:t>
              </w:r>
            </w:smartTag>
            <w:r w:rsidRPr="009B3E08">
              <w:rPr>
                <w:szCs w:val="24"/>
              </w:rPr>
              <w:t xml:space="preserve"> Tasks/Duties and Areas of Responsibility</w:t>
            </w:r>
          </w:p>
        </w:tc>
      </w:tr>
      <w:tr w:rsidR="00DF266E" w:rsidRPr="009B3E08">
        <w:tc>
          <w:tcPr>
            <w:tcW w:w="9286" w:type="dxa"/>
          </w:tcPr>
          <w:p w:rsidR="00DF266E" w:rsidRPr="009B3E08" w:rsidRDefault="00DF266E" w:rsidP="00371A81">
            <w:pPr>
              <w:rPr>
                <w:rFonts w:ascii="Calibri" w:hAnsi="Calibri"/>
                <w:b/>
                <w:sz w:val="24"/>
                <w:szCs w:val="24"/>
              </w:rPr>
            </w:pPr>
            <w:r w:rsidRPr="009B3E08">
              <w:rPr>
                <w:rFonts w:ascii="Calibri" w:hAnsi="Calibri"/>
                <w:b/>
                <w:sz w:val="24"/>
                <w:szCs w:val="24"/>
              </w:rPr>
              <w:t xml:space="preserve">EMERGENCY </w:t>
            </w:r>
            <w:smartTag w:uri="urn:schemas-microsoft-com:office:smarttags" w:element="place">
              <w:r w:rsidRPr="009B3E08">
                <w:rPr>
                  <w:rFonts w:ascii="Calibri" w:hAnsi="Calibri"/>
                  <w:b/>
                  <w:sz w:val="24"/>
                  <w:szCs w:val="24"/>
                </w:rPr>
                <w:t>ROTA</w:t>
              </w:r>
            </w:smartTag>
            <w:r w:rsidRPr="009B3E08">
              <w:rPr>
                <w:rFonts w:ascii="Calibri" w:hAnsi="Calibri"/>
                <w:b/>
                <w:sz w:val="24"/>
                <w:szCs w:val="24"/>
              </w:rPr>
              <w:t xml:space="preserve"> </w:t>
            </w:r>
          </w:p>
          <w:p w:rsidR="00DF266E" w:rsidRPr="009B3E08" w:rsidRDefault="00DF266E" w:rsidP="00371A81">
            <w:pPr>
              <w:rPr>
                <w:rFonts w:ascii="Calibri" w:hAnsi="Calibri"/>
                <w:sz w:val="24"/>
                <w:szCs w:val="24"/>
              </w:rPr>
            </w:pPr>
            <w:r w:rsidRPr="009B3E08">
              <w:rPr>
                <w:rFonts w:ascii="Calibri" w:hAnsi="Calibri"/>
                <w:sz w:val="24"/>
                <w:szCs w:val="24"/>
              </w:rPr>
              <w:t>All medical admissions are onto the Medical Admissions unit.</w:t>
            </w:r>
            <w:r w:rsidR="00825BE1">
              <w:rPr>
                <w:rFonts w:ascii="Calibri" w:hAnsi="Calibri"/>
                <w:sz w:val="24"/>
                <w:szCs w:val="24"/>
              </w:rPr>
              <w:t xml:space="preserve"> This is staffed by 6</w:t>
            </w:r>
            <w:r w:rsidR="000976F0">
              <w:rPr>
                <w:rFonts w:ascii="Calibri" w:hAnsi="Calibri"/>
                <w:sz w:val="24"/>
                <w:szCs w:val="24"/>
              </w:rPr>
              <w:t>-7</w:t>
            </w:r>
            <w:r w:rsidR="00825BE1">
              <w:rPr>
                <w:rFonts w:ascii="Calibri" w:hAnsi="Calibri"/>
                <w:sz w:val="24"/>
                <w:szCs w:val="24"/>
              </w:rPr>
              <w:t xml:space="preserve"> F1s, 2</w:t>
            </w:r>
            <w:r w:rsidR="000976F0">
              <w:rPr>
                <w:rFonts w:ascii="Calibri" w:hAnsi="Calibri"/>
                <w:sz w:val="24"/>
                <w:szCs w:val="24"/>
              </w:rPr>
              <w:t>-3</w:t>
            </w:r>
            <w:r w:rsidR="00825BE1">
              <w:rPr>
                <w:rFonts w:ascii="Calibri" w:hAnsi="Calibri"/>
                <w:sz w:val="24"/>
                <w:szCs w:val="24"/>
              </w:rPr>
              <w:t xml:space="preserve"> CMT</w:t>
            </w:r>
            <w:r w:rsidRPr="009B3E08">
              <w:rPr>
                <w:rFonts w:ascii="Calibri" w:hAnsi="Calibri"/>
                <w:sz w:val="24"/>
                <w:szCs w:val="24"/>
              </w:rPr>
              <w:t xml:space="preserve"> equivalents</w:t>
            </w:r>
            <w:r w:rsidR="000650B6">
              <w:rPr>
                <w:rFonts w:ascii="Calibri" w:hAnsi="Calibri"/>
                <w:sz w:val="24"/>
                <w:szCs w:val="24"/>
              </w:rPr>
              <w:t>, 1</w:t>
            </w:r>
            <w:r w:rsidR="000976F0">
              <w:rPr>
                <w:rFonts w:ascii="Calibri" w:hAnsi="Calibri"/>
                <w:sz w:val="24"/>
                <w:szCs w:val="24"/>
              </w:rPr>
              <w:t>-2</w:t>
            </w:r>
            <w:r w:rsidR="000650B6">
              <w:rPr>
                <w:rFonts w:ascii="Calibri" w:hAnsi="Calibri"/>
                <w:sz w:val="24"/>
                <w:szCs w:val="24"/>
              </w:rPr>
              <w:t xml:space="preserve"> ST3</w:t>
            </w:r>
            <w:r w:rsidRPr="009B3E08">
              <w:rPr>
                <w:rFonts w:ascii="Calibri" w:hAnsi="Calibri"/>
                <w:sz w:val="24"/>
                <w:szCs w:val="24"/>
              </w:rPr>
              <w:t xml:space="preserve"> and 2 acute physicians, with other consultants contributing to the on call Rota. A hospital at night scheme </w:t>
            </w:r>
            <w:r w:rsidR="001153DD">
              <w:rPr>
                <w:rFonts w:ascii="Calibri" w:hAnsi="Calibri"/>
                <w:sz w:val="24"/>
                <w:szCs w:val="24"/>
              </w:rPr>
              <w:t>is established</w:t>
            </w:r>
            <w:r w:rsidRPr="009B3E08">
              <w:rPr>
                <w:rFonts w:ascii="Calibri" w:hAnsi="Calibri"/>
                <w:sz w:val="24"/>
                <w:szCs w:val="24"/>
              </w:rPr>
              <w:t xml:space="preserve">. </w:t>
            </w:r>
          </w:p>
          <w:p w:rsidR="00DF266E" w:rsidRPr="009B3E08" w:rsidRDefault="00DF266E" w:rsidP="00371A81">
            <w:pPr>
              <w:rPr>
                <w:rFonts w:ascii="Calibri" w:hAnsi="Calibri"/>
                <w:sz w:val="24"/>
                <w:szCs w:val="24"/>
              </w:rPr>
            </w:pPr>
            <w:r w:rsidRPr="009B3E08">
              <w:rPr>
                <w:rFonts w:ascii="Calibri" w:hAnsi="Calibri"/>
                <w:sz w:val="24"/>
                <w:szCs w:val="24"/>
              </w:rPr>
              <w:t xml:space="preserve">The average combined acute medical take is approximately 25 patients per day. The majority of these are admitted through the medical assessment unit that is open 24 hours per day. </w:t>
            </w:r>
          </w:p>
          <w:p w:rsidR="00DF266E" w:rsidRPr="009B3E08" w:rsidRDefault="00DF266E">
            <w:pPr>
              <w:pStyle w:val="bodytext"/>
              <w:rPr>
                <w:szCs w:val="24"/>
              </w:rPr>
            </w:pPr>
          </w:p>
        </w:tc>
      </w:tr>
    </w:tbl>
    <w:p w:rsidR="00DF266E" w:rsidRPr="009B3E08" w:rsidRDefault="00DF266E">
      <w:pPr>
        <w:pStyle w:val="bodyt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9B3E08">
        <w:tc>
          <w:tcPr>
            <w:tcW w:w="9286" w:type="dxa"/>
          </w:tcPr>
          <w:p w:rsidR="00DF266E" w:rsidRPr="009B3E08" w:rsidRDefault="00DF266E">
            <w:pPr>
              <w:pStyle w:val="Heading1"/>
              <w:rPr>
                <w:szCs w:val="24"/>
              </w:rPr>
            </w:pPr>
            <w:r w:rsidRPr="009B3E08">
              <w:rPr>
                <w:szCs w:val="24"/>
              </w:rPr>
              <w:t>6. Communication and Working Relationships</w:t>
            </w:r>
          </w:p>
        </w:tc>
      </w:tr>
      <w:tr w:rsidR="00DF266E" w:rsidRPr="009B3E08">
        <w:tc>
          <w:tcPr>
            <w:tcW w:w="9286" w:type="dxa"/>
          </w:tcPr>
          <w:p w:rsidR="00DF266E" w:rsidRDefault="00DF266E" w:rsidP="00371A81">
            <w:pPr>
              <w:rPr>
                <w:rFonts w:ascii="Calibri" w:hAnsi="Calibri"/>
                <w:b/>
                <w:sz w:val="24"/>
                <w:szCs w:val="24"/>
              </w:rPr>
            </w:pPr>
          </w:p>
          <w:p w:rsidR="00DF266E" w:rsidRPr="009B3E08" w:rsidRDefault="00DF266E" w:rsidP="00371A81">
            <w:pPr>
              <w:rPr>
                <w:rFonts w:ascii="Calibri" w:hAnsi="Calibri"/>
                <w:b/>
                <w:sz w:val="24"/>
                <w:szCs w:val="24"/>
              </w:rPr>
            </w:pPr>
            <w:r w:rsidRPr="009B3E08">
              <w:rPr>
                <w:rFonts w:ascii="Calibri" w:hAnsi="Calibri"/>
                <w:b/>
                <w:sz w:val="24"/>
                <w:szCs w:val="24"/>
              </w:rPr>
              <w:t xml:space="preserve">MEDICAL AND CARE OF THE ELDERLY BEDS </w:t>
            </w:r>
          </w:p>
          <w:p w:rsidR="00DF266E" w:rsidRDefault="00DF266E" w:rsidP="00371A81">
            <w:pPr>
              <w:rPr>
                <w:rFonts w:ascii="Calibri" w:hAnsi="Calibri"/>
                <w:sz w:val="24"/>
                <w:szCs w:val="24"/>
              </w:rPr>
            </w:pPr>
            <w:r w:rsidRPr="009B3E08">
              <w:rPr>
                <w:rFonts w:ascii="Calibri" w:hAnsi="Calibri"/>
                <w:sz w:val="24"/>
                <w:szCs w:val="24"/>
              </w:rPr>
              <w:t xml:space="preserve">We provide a comprehensive medical service both at the </w:t>
            </w:r>
            <w:smartTag w:uri="urn:schemas-microsoft-com:office:smarttags" w:element="place">
              <w:smartTag w:uri="urn:schemas-microsoft-com:office:smarttags" w:element="place">
                <w:r w:rsidRPr="009B3E08">
                  <w:rPr>
                    <w:rFonts w:ascii="Calibri" w:hAnsi="Calibri"/>
                    <w:sz w:val="24"/>
                    <w:szCs w:val="24"/>
                  </w:rPr>
                  <w:t>North</w:t>
                </w:r>
              </w:smartTag>
              <w:r w:rsidRPr="009B3E08">
                <w:rPr>
                  <w:rFonts w:ascii="Calibri" w:hAnsi="Calibri"/>
                  <w:sz w:val="24"/>
                  <w:szCs w:val="24"/>
                </w:rPr>
                <w:t xml:space="preserve"> </w:t>
              </w:r>
              <w:smartTag w:uri="urn:schemas-microsoft-com:office:smarttags" w:element="place">
                <w:r w:rsidRPr="009B3E08">
                  <w:rPr>
                    <w:rFonts w:ascii="Calibri" w:hAnsi="Calibri"/>
                    <w:sz w:val="24"/>
                    <w:szCs w:val="24"/>
                  </w:rPr>
                  <w:t>Devon</w:t>
                </w:r>
              </w:smartTag>
              <w:r w:rsidRPr="009B3E08">
                <w:rPr>
                  <w:rFonts w:ascii="Calibri" w:hAnsi="Calibri"/>
                  <w:sz w:val="24"/>
                  <w:szCs w:val="24"/>
                </w:rPr>
                <w:t xml:space="preserve"> </w:t>
              </w:r>
              <w:smartTag w:uri="urn:schemas-microsoft-com:office:smarttags" w:element="place">
                <w:r w:rsidRPr="009B3E08">
                  <w:rPr>
                    <w:rFonts w:ascii="Calibri" w:hAnsi="Calibri"/>
                    <w:sz w:val="24"/>
                    <w:szCs w:val="24"/>
                  </w:rPr>
                  <w:t>District</w:t>
                </w:r>
              </w:smartTag>
              <w:r w:rsidRPr="009B3E08">
                <w:rPr>
                  <w:rFonts w:ascii="Calibri" w:hAnsi="Calibri"/>
                  <w:sz w:val="24"/>
                  <w:szCs w:val="24"/>
                </w:rPr>
                <w:t xml:space="preserve"> </w:t>
              </w:r>
              <w:smartTag w:uri="urn:schemas-microsoft-com:office:smarttags" w:element="place">
                <w:r w:rsidRPr="009B3E08">
                  <w:rPr>
                    <w:rFonts w:ascii="Calibri" w:hAnsi="Calibri"/>
                    <w:sz w:val="24"/>
                    <w:szCs w:val="24"/>
                  </w:rPr>
                  <w:t>Hospital</w:t>
                </w:r>
              </w:smartTag>
            </w:smartTag>
            <w:r w:rsidRPr="009B3E08">
              <w:rPr>
                <w:rFonts w:ascii="Calibri" w:hAnsi="Calibri"/>
                <w:sz w:val="24"/>
                <w:szCs w:val="24"/>
              </w:rPr>
              <w:t xml:space="preserve"> and the local community hospitals. There are close links with Exeter, Plymouth and Bristol, which are likely to increase in the future with developments in services and the Peninsula Medical School project. The beds are distributed as follows: </w:t>
            </w:r>
          </w:p>
          <w:p w:rsidR="00DF266E" w:rsidRPr="009B3E08" w:rsidRDefault="00DF266E" w:rsidP="00371A81">
            <w:pPr>
              <w:rPr>
                <w:rFonts w:ascii="Calibri" w:hAnsi="Calibri"/>
                <w:sz w:val="24"/>
                <w:szCs w:val="24"/>
              </w:rPr>
            </w:pPr>
          </w:p>
          <w:p w:rsidR="000976F0" w:rsidRPr="009B3E08" w:rsidRDefault="000976F0" w:rsidP="000976F0">
            <w:pPr>
              <w:rPr>
                <w:rFonts w:ascii="Calibri" w:hAnsi="Calibri"/>
                <w:sz w:val="24"/>
                <w:szCs w:val="24"/>
              </w:rPr>
            </w:pPr>
            <w:r>
              <w:rPr>
                <w:rFonts w:ascii="Calibri" w:hAnsi="Calibri"/>
                <w:sz w:val="24"/>
                <w:szCs w:val="24"/>
              </w:rPr>
              <w:t xml:space="preserve">Level 5 </w:t>
            </w:r>
            <w:r w:rsidRPr="009B3E08">
              <w:rPr>
                <w:rFonts w:ascii="Calibri" w:hAnsi="Calibri"/>
                <w:sz w:val="24"/>
                <w:szCs w:val="24"/>
              </w:rPr>
              <w:t xml:space="preserve"> </w:t>
            </w:r>
            <w:r>
              <w:rPr>
                <w:rFonts w:ascii="Calibri" w:hAnsi="Calibri"/>
                <w:sz w:val="24"/>
                <w:szCs w:val="24"/>
              </w:rPr>
              <w:t xml:space="preserve">             Stroke Unit</w:t>
            </w:r>
            <w:r w:rsidRPr="009B3E08">
              <w:rPr>
                <w:rFonts w:ascii="Calibri" w:hAnsi="Calibri"/>
                <w:sz w:val="24"/>
                <w:szCs w:val="24"/>
              </w:rPr>
              <w:tab/>
            </w:r>
            <w:r w:rsidRPr="009B3E08">
              <w:rPr>
                <w:rFonts w:ascii="Calibri" w:hAnsi="Calibri"/>
                <w:sz w:val="24"/>
                <w:szCs w:val="24"/>
              </w:rPr>
              <w:tab/>
            </w:r>
            <w:r w:rsidRPr="009B3E08">
              <w:rPr>
                <w:rFonts w:ascii="Calibri" w:hAnsi="Calibri"/>
                <w:sz w:val="24"/>
                <w:szCs w:val="24"/>
              </w:rPr>
              <w:tab/>
            </w:r>
            <w:r w:rsidRPr="009B3E08">
              <w:rPr>
                <w:rFonts w:ascii="Calibri" w:hAnsi="Calibri"/>
                <w:sz w:val="24"/>
                <w:szCs w:val="24"/>
              </w:rPr>
              <w:tab/>
            </w:r>
            <w:r>
              <w:rPr>
                <w:rFonts w:ascii="Calibri" w:hAnsi="Calibri"/>
                <w:sz w:val="24"/>
                <w:szCs w:val="24"/>
              </w:rPr>
              <w:t>24 beds</w:t>
            </w:r>
          </w:p>
          <w:p w:rsidR="000976F0" w:rsidRPr="009B3E08" w:rsidRDefault="000976F0" w:rsidP="000976F0">
            <w:pPr>
              <w:rPr>
                <w:rFonts w:ascii="Calibri" w:hAnsi="Calibri"/>
                <w:sz w:val="24"/>
                <w:szCs w:val="24"/>
              </w:rPr>
            </w:pPr>
          </w:p>
          <w:p w:rsidR="000976F0" w:rsidRPr="009B3E08" w:rsidRDefault="000976F0" w:rsidP="000976F0">
            <w:pPr>
              <w:rPr>
                <w:rFonts w:ascii="Calibri" w:hAnsi="Calibri"/>
                <w:sz w:val="24"/>
                <w:szCs w:val="24"/>
              </w:rPr>
            </w:pPr>
            <w:r w:rsidRPr="009B3E08">
              <w:rPr>
                <w:rFonts w:ascii="Calibri" w:hAnsi="Calibri"/>
                <w:sz w:val="24"/>
                <w:szCs w:val="24"/>
              </w:rPr>
              <w:t xml:space="preserve">Level 4 </w:t>
            </w:r>
            <w:r w:rsidRPr="009B3E08">
              <w:rPr>
                <w:rFonts w:ascii="Calibri" w:hAnsi="Calibri"/>
                <w:sz w:val="24"/>
                <w:szCs w:val="24"/>
              </w:rPr>
              <w:tab/>
            </w:r>
            <w:r>
              <w:rPr>
                <w:rFonts w:ascii="Calibri" w:hAnsi="Calibri"/>
                <w:sz w:val="24"/>
                <w:szCs w:val="24"/>
              </w:rPr>
              <w:t>Cardiology</w:t>
            </w:r>
            <w:r w:rsidRPr="009B3E08">
              <w:rPr>
                <w:rFonts w:ascii="Calibri" w:hAnsi="Calibri"/>
                <w:sz w:val="24"/>
                <w:szCs w:val="24"/>
              </w:rPr>
              <w:t xml:space="preserve">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28</w:t>
            </w:r>
            <w:r w:rsidRPr="009B3E08">
              <w:rPr>
                <w:rFonts w:ascii="Calibri" w:hAnsi="Calibri"/>
                <w:sz w:val="24"/>
                <w:szCs w:val="24"/>
              </w:rPr>
              <w:t xml:space="preserve"> beds </w:t>
            </w:r>
          </w:p>
          <w:p w:rsidR="000976F0" w:rsidRPr="009B3E08" w:rsidRDefault="000976F0" w:rsidP="000976F0">
            <w:pPr>
              <w:rPr>
                <w:rFonts w:ascii="Calibri" w:hAnsi="Calibri"/>
                <w:sz w:val="24"/>
                <w:szCs w:val="24"/>
              </w:rPr>
            </w:pPr>
            <w:r w:rsidRPr="009B3E08">
              <w:rPr>
                <w:rFonts w:ascii="Calibri" w:hAnsi="Calibri"/>
                <w:sz w:val="24"/>
                <w:szCs w:val="24"/>
              </w:rPr>
              <w:tab/>
            </w:r>
            <w:r w:rsidRPr="009B3E08">
              <w:rPr>
                <w:rFonts w:ascii="Calibri" w:hAnsi="Calibri"/>
                <w:sz w:val="24"/>
                <w:szCs w:val="24"/>
              </w:rPr>
              <w:tab/>
              <w:t>Rehabilitation</w:t>
            </w:r>
            <w:r w:rsidRPr="009B3E08">
              <w:rPr>
                <w:rFonts w:ascii="Calibri" w:hAnsi="Calibri"/>
                <w:sz w:val="24"/>
                <w:szCs w:val="24"/>
              </w:rPr>
              <w:tab/>
            </w:r>
            <w:r>
              <w:rPr>
                <w:rFonts w:ascii="Calibri" w:hAnsi="Calibri"/>
                <w:sz w:val="24"/>
                <w:szCs w:val="24"/>
              </w:rPr>
              <w:t>/</w:t>
            </w:r>
            <w:proofErr w:type="spellStart"/>
            <w:r>
              <w:rPr>
                <w:rFonts w:ascii="Calibri" w:hAnsi="Calibri"/>
                <w:sz w:val="24"/>
                <w:szCs w:val="24"/>
              </w:rPr>
              <w:t>HfOP</w:t>
            </w:r>
            <w:proofErr w:type="spellEnd"/>
            <w:r>
              <w:rPr>
                <w:rFonts w:ascii="Calibri" w:hAnsi="Calibri"/>
                <w:sz w:val="24"/>
                <w:szCs w:val="24"/>
              </w:rPr>
              <w:t xml:space="preserve">    </w:t>
            </w:r>
            <w:r w:rsidRPr="009B3E08">
              <w:rPr>
                <w:rFonts w:ascii="Calibri" w:hAnsi="Calibri"/>
                <w:sz w:val="24"/>
                <w:szCs w:val="24"/>
              </w:rPr>
              <w:tab/>
            </w:r>
            <w:r w:rsidRPr="009B3E08">
              <w:rPr>
                <w:rFonts w:ascii="Calibri" w:hAnsi="Calibri"/>
                <w:sz w:val="24"/>
                <w:szCs w:val="24"/>
              </w:rPr>
              <w:tab/>
            </w:r>
            <w:r>
              <w:rPr>
                <w:rFonts w:ascii="Calibri" w:hAnsi="Calibri"/>
                <w:sz w:val="24"/>
                <w:szCs w:val="24"/>
              </w:rPr>
              <w:t>29</w:t>
            </w:r>
            <w:r w:rsidRPr="009B3E08">
              <w:rPr>
                <w:rFonts w:ascii="Calibri" w:hAnsi="Calibri"/>
                <w:sz w:val="24"/>
                <w:szCs w:val="24"/>
              </w:rPr>
              <w:t xml:space="preserve"> beds</w:t>
            </w:r>
          </w:p>
          <w:p w:rsidR="000976F0" w:rsidRDefault="000976F0" w:rsidP="000976F0">
            <w:pPr>
              <w:rPr>
                <w:rFonts w:ascii="Calibri" w:hAnsi="Calibri"/>
                <w:sz w:val="24"/>
                <w:szCs w:val="24"/>
              </w:rPr>
            </w:pPr>
          </w:p>
          <w:p w:rsidR="000976F0" w:rsidRDefault="000976F0" w:rsidP="000976F0">
            <w:pPr>
              <w:rPr>
                <w:rFonts w:ascii="Calibri" w:hAnsi="Calibri"/>
                <w:sz w:val="24"/>
                <w:szCs w:val="24"/>
              </w:rPr>
            </w:pPr>
            <w:r w:rsidRPr="009B3E08">
              <w:rPr>
                <w:rFonts w:ascii="Calibri" w:hAnsi="Calibri"/>
                <w:sz w:val="24"/>
                <w:szCs w:val="24"/>
              </w:rPr>
              <w:t xml:space="preserve">Level 3 </w:t>
            </w:r>
            <w:r w:rsidRPr="009B3E08">
              <w:rPr>
                <w:rFonts w:ascii="Calibri" w:hAnsi="Calibri"/>
                <w:sz w:val="24"/>
                <w:szCs w:val="24"/>
              </w:rPr>
              <w:tab/>
              <w:t xml:space="preserve">ITU, HDU </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9B3E08">
              <w:rPr>
                <w:rFonts w:ascii="Calibri" w:hAnsi="Calibri"/>
                <w:sz w:val="24"/>
                <w:szCs w:val="24"/>
              </w:rPr>
              <w:t xml:space="preserve">4 &amp; 3 beds </w:t>
            </w:r>
          </w:p>
          <w:p w:rsidR="000976F0" w:rsidRDefault="000976F0" w:rsidP="000976F0">
            <w:pPr>
              <w:rPr>
                <w:rFonts w:ascii="Calibri" w:hAnsi="Calibri"/>
                <w:sz w:val="24"/>
                <w:szCs w:val="24"/>
              </w:rPr>
            </w:pPr>
            <w:r>
              <w:rPr>
                <w:rFonts w:ascii="Calibri" w:hAnsi="Calibri"/>
                <w:sz w:val="24"/>
                <w:szCs w:val="24"/>
              </w:rPr>
              <w:tab/>
              <w:t xml:space="preserve">             Gastroenterology/Acute </w:t>
            </w:r>
            <w:proofErr w:type="spellStart"/>
            <w:r>
              <w:rPr>
                <w:rFonts w:ascii="Calibri" w:hAnsi="Calibri"/>
                <w:sz w:val="24"/>
                <w:szCs w:val="24"/>
              </w:rPr>
              <w:t>HfOP</w:t>
            </w:r>
            <w:proofErr w:type="spellEnd"/>
            <w:r>
              <w:rPr>
                <w:rFonts w:ascii="Calibri" w:hAnsi="Calibri"/>
                <w:sz w:val="24"/>
                <w:szCs w:val="24"/>
              </w:rPr>
              <w:t xml:space="preserve">             29 beds</w:t>
            </w:r>
          </w:p>
          <w:p w:rsidR="000976F0" w:rsidRPr="009B3E08" w:rsidRDefault="000976F0" w:rsidP="000976F0">
            <w:pPr>
              <w:rPr>
                <w:rFonts w:ascii="Calibri" w:hAnsi="Calibri"/>
                <w:sz w:val="24"/>
                <w:szCs w:val="24"/>
              </w:rPr>
            </w:pPr>
            <w:r>
              <w:rPr>
                <w:rFonts w:ascii="Calibri" w:hAnsi="Calibri"/>
                <w:sz w:val="24"/>
                <w:szCs w:val="24"/>
              </w:rPr>
              <w:t xml:space="preserve">                          Respiratory                                               18 beds</w:t>
            </w:r>
          </w:p>
          <w:p w:rsidR="000976F0" w:rsidRPr="009B3E08" w:rsidRDefault="000976F0" w:rsidP="000976F0">
            <w:pPr>
              <w:rPr>
                <w:rFonts w:ascii="Calibri" w:hAnsi="Calibri"/>
                <w:sz w:val="24"/>
                <w:szCs w:val="24"/>
              </w:rPr>
            </w:pPr>
          </w:p>
          <w:p w:rsidR="000976F0" w:rsidRDefault="000976F0" w:rsidP="000976F0">
            <w:pPr>
              <w:rPr>
                <w:rFonts w:ascii="Calibri" w:hAnsi="Calibri"/>
                <w:sz w:val="24"/>
                <w:szCs w:val="24"/>
              </w:rPr>
            </w:pPr>
            <w:r w:rsidRPr="009B3E08">
              <w:rPr>
                <w:rFonts w:ascii="Calibri" w:hAnsi="Calibri"/>
                <w:sz w:val="24"/>
                <w:szCs w:val="24"/>
              </w:rPr>
              <w:t xml:space="preserve">Level 1 </w:t>
            </w:r>
            <w:r w:rsidRPr="009B3E08">
              <w:rPr>
                <w:rFonts w:ascii="Calibri" w:hAnsi="Calibri"/>
                <w:sz w:val="24"/>
                <w:szCs w:val="24"/>
              </w:rPr>
              <w:tab/>
              <w:t xml:space="preserve">Medical Assessment Unit </w:t>
            </w:r>
            <w:r w:rsidRPr="009B3E08">
              <w:rPr>
                <w:rFonts w:ascii="Calibri" w:hAnsi="Calibri"/>
                <w:sz w:val="24"/>
                <w:szCs w:val="24"/>
              </w:rPr>
              <w:tab/>
            </w:r>
            <w:r w:rsidRPr="009B3E08">
              <w:rPr>
                <w:rFonts w:ascii="Calibri" w:hAnsi="Calibri"/>
                <w:sz w:val="24"/>
                <w:szCs w:val="24"/>
              </w:rPr>
              <w:tab/>
              <w:t>2</w:t>
            </w:r>
            <w:r>
              <w:rPr>
                <w:rFonts w:ascii="Calibri" w:hAnsi="Calibri"/>
                <w:sz w:val="24"/>
                <w:szCs w:val="24"/>
              </w:rPr>
              <w:t>6</w:t>
            </w:r>
            <w:r w:rsidRPr="009B3E08">
              <w:rPr>
                <w:rFonts w:ascii="Calibri" w:hAnsi="Calibri"/>
                <w:sz w:val="24"/>
                <w:szCs w:val="24"/>
              </w:rPr>
              <w:t xml:space="preserve"> beds  </w:t>
            </w:r>
          </w:p>
          <w:p w:rsidR="000976F0" w:rsidRDefault="000976F0" w:rsidP="000976F0">
            <w:pPr>
              <w:rPr>
                <w:rFonts w:ascii="Calibri" w:hAnsi="Calibri"/>
                <w:sz w:val="24"/>
                <w:szCs w:val="24"/>
              </w:rPr>
            </w:pPr>
            <w:r w:rsidRPr="009B3E08">
              <w:rPr>
                <w:rFonts w:ascii="Calibri" w:hAnsi="Calibri"/>
                <w:sz w:val="24"/>
                <w:szCs w:val="24"/>
              </w:rPr>
              <w:tab/>
            </w:r>
            <w:r w:rsidRPr="009B3E08">
              <w:rPr>
                <w:rFonts w:ascii="Calibri" w:hAnsi="Calibri"/>
                <w:sz w:val="24"/>
                <w:szCs w:val="24"/>
              </w:rPr>
              <w:tab/>
            </w:r>
            <w:r>
              <w:rPr>
                <w:rFonts w:ascii="Calibri" w:hAnsi="Calibri"/>
                <w:sz w:val="24"/>
                <w:szCs w:val="24"/>
              </w:rPr>
              <w:t>General Medicine</w:t>
            </w:r>
            <w:r w:rsidRPr="009B3E08">
              <w:rPr>
                <w:rFonts w:ascii="Calibri" w:hAnsi="Calibri"/>
                <w:sz w:val="24"/>
                <w:szCs w:val="24"/>
              </w:rPr>
              <w:t xml:space="preserve"> </w:t>
            </w:r>
            <w:r w:rsidRPr="009B3E08">
              <w:rPr>
                <w:rFonts w:ascii="Calibri" w:hAnsi="Calibri"/>
                <w:sz w:val="24"/>
                <w:szCs w:val="24"/>
              </w:rPr>
              <w:tab/>
            </w:r>
            <w:r w:rsidRPr="009B3E08">
              <w:rPr>
                <w:rFonts w:ascii="Calibri" w:hAnsi="Calibri"/>
                <w:sz w:val="24"/>
                <w:szCs w:val="24"/>
              </w:rPr>
              <w:tab/>
            </w:r>
            <w:r w:rsidRPr="009B3E08">
              <w:rPr>
                <w:rFonts w:ascii="Calibri" w:hAnsi="Calibri"/>
                <w:sz w:val="24"/>
                <w:szCs w:val="24"/>
              </w:rPr>
              <w:tab/>
            </w:r>
            <w:r>
              <w:rPr>
                <w:rFonts w:ascii="Calibri" w:hAnsi="Calibri"/>
                <w:sz w:val="24"/>
                <w:szCs w:val="24"/>
              </w:rPr>
              <w:t>22 beds</w:t>
            </w:r>
          </w:p>
          <w:p w:rsidR="00DF266E" w:rsidRPr="009B3E08" w:rsidRDefault="00DF266E" w:rsidP="00641DFE">
            <w:pPr>
              <w:rPr>
                <w:szCs w:val="24"/>
              </w:rPr>
            </w:pPr>
          </w:p>
        </w:tc>
      </w:tr>
    </w:tbl>
    <w:p w:rsidR="00DF266E" w:rsidRDefault="00DF26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F266E" w:rsidRPr="000D2DFE" w:rsidTr="002F1BA4">
        <w:tc>
          <w:tcPr>
            <w:tcW w:w="9286" w:type="dxa"/>
          </w:tcPr>
          <w:p w:rsidR="00DF266E" w:rsidRPr="00C774E7" w:rsidRDefault="00DF266E" w:rsidP="002F1BA4">
            <w:pPr>
              <w:rPr>
                <w:rFonts w:ascii="Calibri" w:hAnsi="Calibri"/>
                <w:b/>
                <w:sz w:val="24"/>
                <w:szCs w:val="24"/>
              </w:rPr>
            </w:pPr>
            <w:r w:rsidRPr="00C774E7">
              <w:rPr>
                <w:rFonts w:ascii="Calibri" w:hAnsi="Calibri"/>
                <w:b/>
                <w:sz w:val="24"/>
                <w:szCs w:val="24"/>
              </w:rPr>
              <w:t>7.About us</w:t>
            </w:r>
          </w:p>
        </w:tc>
      </w:tr>
      <w:tr w:rsidR="00DF266E" w:rsidRPr="000D2DFE" w:rsidTr="002F1BA4">
        <w:tc>
          <w:tcPr>
            <w:tcW w:w="9286" w:type="dxa"/>
          </w:tcPr>
          <w:p w:rsidR="002C5572" w:rsidRPr="008C716B" w:rsidRDefault="002C5572" w:rsidP="002C5572">
            <w:pPr>
              <w:pStyle w:val="NormalWeb"/>
              <w:rPr>
                <w:rFonts w:ascii="Calibri" w:hAnsi="Calibri" w:cs="Arial"/>
              </w:rPr>
            </w:pPr>
            <w:r w:rsidRPr="008C716B">
              <w:rPr>
                <w:rFonts w:ascii="Calibri" w:hAnsi="Calibri" w:cs="Arial"/>
              </w:rPr>
              <w:t>The North Devon District Hospital provides a 24/7 accident and emergency service and a full range of acute services such as trauma, orthopaedics, general surgery, stroke care and cancer services amongst many others. The Trust has recently invested in state of the art CT and diagnostics services.</w:t>
            </w:r>
          </w:p>
          <w:p w:rsidR="002C5572" w:rsidRDefault="002C5572" w:rsidP="002C5572">
            <w:pPr>
              <w:rPr>
                <w:rFonts w:asciiTheme="minorHAnsi" w:hAnsiTheme="minorHAnsi"/>
                <w:sz w:val="24"/>
                <w:szCs w:val="24"/>
              </w:rPr>
            </w:pPr>
            <w:r w:rsidRPr="002C5572">
              <w:rPr>
                <w:rFonts w:asciiTheme="minorHAnsi" w:hAnsiTheme="minorHAnsi"/>
                <w:sz w:val="24"/>
                <w:szCs w:val="24"/>
              </w:rPr>
              <w:t xml:space="preserve">The Trust operates acute &amp; community services across North Devon, including the urban areas of </w:t>
            </w:r>
            <w:proofErr w:type="spellStart"/>
            <w:r w:rsidRPr="002C5572">
              <w:rPr>
                <w:rFonts w:asciiTheme="minorHAnsi" w:hAnsiTheme="minorHAnsi"/>
                <w:sz w:val="24"/>
                <w:szCs w:val="24"/>
              </w:rPr>
              <w:t>Barnstaple</w:t>
            </w:r>
            <w:proofErr w:type="spellEnd"/>
            <w:r w:rsidRPr="002C5572">
              <w:rPr>
                <w:rFonts w:asciiTheme="minorHAnsi" w:hAnsiTheme="minorHAnsi"/>
                <w:sz w:val="24"/>
                <w:szCs w:val="24"/>
              </w:rPr>
              <w:t xml:space="preserve"> &amp; </w:t>
            </w:r>
            <w:proofErr w:type="spellStart"/>
            <w:r w:rsidRPr="002C5572">
              <w:rPr>
                <w:rFonts w:asciiTheme="minorHAnsi" w:hAnsiTheme="minorHAnsi"/>
                <w:sz w:val="24"/>
                <w:szCs w:val="24"/>
              </w:rPr>
              <w:t>Bideford</w:t>
            </w:r>
            <w:proofErr w:type="spellEnd"/>
            <w:r w:rsidRPr="002C5572">
              <w:rPr>
                <w:rFonts w:asciiTheme="minorHAnsi" w:hAnsiTheme="minorHAnsi"/>
                <w:sz w:val="24"/>
                <w:szCs w:val="24"/>
              </w:rPr>
              <w:t xml:space="preserve"> and a more rural population throughout the region.  We also care for patients from </w:t>
            </w:r>
            <w:proofErr w:type="spellStart"/>
            <w:r w:rsidRPr="002C5572">
              <w:rPr>
                <w:rFonts w:asciiTheme="minorHAnsi" w:hAnsiTheme="minorHAnsi"/>
                <w:sz w:val="24"/>
                <w:szCs w:val="24"/>
              </w:rPr>
              <w:t>neighbouring</w:t>
            </w:r>
            <w:proofErr w:type="spellEnd"/>
            <w:r w:rsidRPr="002C5572">
              <w:rPr>
                <w:rFonts w:asciiTheme="minorHAnsi" w:hAnsiTheme="minorHAnsi"/>
                <w:sz w:val="24"/>
                <w:szCs w:val="24"/>
              </w:rPr>
              <w:t xml:space="preserve"> areas in Cornwall and Somerset and there is a significant increase in activity in the summer months, as visitors to the area access emergency services.</w:t>
            </w:r>
          </w:p>
          <w:p w:rsidR="002C5572" w:rsidRPr="008C716B" w:rsidRDefault="002C5572" w:rsidP="002C5572">
            <w:pPr>
              <w:pStyle w:val="NormalWeb"/>
              <w:rPr>
                <w:rFonts w:ascii="Calibri" w:hAnsi="Calibri" w:cs="Arial"/>
              </w:rPr>
            </w:pPr>
            <w:r w:rsidRPr="008C716B">
              <w:rPr>
                <w:rFonts w:ascii="Calibri" w:hAnsi="Calibri" w:cs="Arial"/>
              </w:rPr>
              <w:lastRenderedPageBreak/>
              <w:t xml:space="preserve">The Trust provides some specialist services via a number of clinical networks with neighbouring acute Trusts. These include a vascular network with Taunton, a neonatal network with Plymouth and a cancer network with Exeter. </w:t>
            </w:r>
          </w:p>
          <w:p w:rsidR="002C5572" w:rsidRPr="008C716B" w:rsidRDefault="002C5572" w:rsidP="002C5572">
            <w:pPr>
              <w:pStyle w:val="NormalWeb"/>
              <w:rPr>
                <w:rFonts w:ascii="Calibri" w:hAnsi="Calibri" w:cs="Arial"/>
              </w:rPr>
            </w:pPr>
            <w:r w:rsidRPr="008C716B">
              <w:rPr>
                <w:rFonts w:ascii="Calibri" w:hAnsi="Calibri" w:cs="Arial"/>
              </w:rPr>
              <w:t xml:space="preserve">The Trust was one of the first in England to integrate acute and community healthcare services in 2006, quickly followed by an integration of adult community health and social care services in 2008.  </w:t>
            </w:r>
          </w:p>
          <w:p w:rsidR="002C5572" w:rsidRPr="008C716B" w:rsidRDefault="002C5572" w:rsidP="002C5572">
            <w:pPr>
              <w:pStyle w:val="NormalWeb"/>
              <w:rPr>
                <w:rFonts w:ascii="Calibri" w:hAnsi="Calibri" w:cs="Arial"/>
              </w:rPr>
            </w:pPr>
            <w:r w:rsidRPr="008C716B">
              <w:rPr>
                <w:rFonts w:ascii="Calibri" w:hAnsi="Calibri" w:cs="Arial"/>
              </w:rPr>
              <w:t>Community teams across Devon provide a full range of district nursing, community nursing, physical therapies, and sexual health and family planning services.  The Trust is also the main provider of specialist community healthcare services in Devon, such as audiology and chiropody. Adult community health and social care services are provided through cluster management arrangements aligned to primary care services. </w:t>
            </w:r>
          </w:p>
          <w:p w:rsidR="002C5572" w:rsidRPr="008C716B" w:rsidRDefault="002C5572" w:rsidP="002C5572">
            <w:pPr>
              <w:pStyle w:val="NormalWeb"/>
              <w:rPr>
                <w:rFonts w:ascii="Calibri" w:hAnsi="Calibri" w:cs="Arial"/>
              </w:rPr>
            </w:pPr>
            <w:r>
              <w:rPr>
                <w:rFonts w:ascii="Calibri" w:hAnsi="Calibri" w:cs="Arial"/>
              </w:rPr>
              <w:t>North, East and Western (NEW)</w:t>
            </w:r>
            <w:r w:rsidRPr="008C716B">
              <w:rPr>
                <w:rFonts w:ascii="Calibri" w:hAnsi="Calibri" w:cs="Arial"/>
              </w:rPr>
              <w:t xml:space="preserve"> Devon </w:t>
            </w:r>
            <w:r>
              <w:rPr>
                <w:rFonts w:ascii="Calibri" w:hAnsi="Calibri" w:cs="Arial"/>
              </w:rPr>
              <w:t xml:space="preserve">CCG </w:t>
            </w:r>
            <w:r w:rsidRPr="008C716B">
              <w:rPr>
                <w:rFonts w:ascii="Calibri" w:hAnsi="Calibri" w:cs="Arial"/>
              </w:rPr>
              <w:t xml:space="preserve">is the Trust’s main commissioner of health </w:t>
            </w:r>
            <w:r>
              <w:rPr>
                <w:rFonts w:ascii="Calibri" w:hAnsi="Calibri" w:cs="Arial"/>
              </w:rPr>
              <w:t>s</w:t>
            </w:r>
            <w:r w:rsidRPr="008C716B">
              <w:rPr>
                <w:rFonts w:ascii="Calibri" w:hAnsi="Calibri" w:cs="Arial"/>
              </w:rPr>
              <w:t>ervices.  The Trust also provides services to residents on the borders of Cornwall, Somerset and Dorset.</w:t>
            </w:r>
          </w:p>
          <w:p w:rsidR="002C5572" w:rsidRDefault="002C5572" w:rsidP="002C5572">
            <w:pPr>
              <w:pStyle w:val="Heading2"/>
            </w:pPr>
            <w:r>
              <w:t>The Trust’s Vision</w:t>
            </w:r>
          </w:p>
          <w:p w:rsidR="002C5572" w:rsidRPr="002C5572" w:rsidRDefault="002C5572" w:rsidP="002C5572">
            <w:pPr>
              <w:rPr>
                <w:rFonts w:ascii="Calibri" w:hAnsi="Calibri"/>
                <w:sz w:val="24"/>
                <w:szCs w:val="24"/>
              </w:rPr>
            </w:pPr>
            <w:r w:rsidRPr="002C5572">
              <w:rPr>
                <w:rFonts w:ascii="Calibri" w:hAnsi="Calibri"/>
                <w:sz w:val="24"/>
                <w:szCs w:val="24"/>
              </w:rPr>
              <w:t>Delivering high-quality and sustainable services that support your health and wellbeing</w:t>
            </w:r>
          </w:p>
          <w:p w:rsidR="002C5572" w:rsidRDefault="002C5572" w:rsidP="002C5572">
            <w:pPr>
              <w:pStyle w:val="Heading2"/>
            </w:pPr>
            <w:r>
              <w:t>Management Structure</w:t>
            </w:r>
          </w:p>
          <w:p w:rsidR="002C5572" w:rsidRDefault="002C5572" w:rsidP="002C5572">
            <w:pPr>
              <w:rPr>
                <w:rFonts w:ascii="Calibri" w:hAnsi="Calibri"/>
                <w:sz w:val="24"/>
                <w:szCs w:val="24"/>
              </w:rPr>
            </w:pPr>
            <w:r w:rsidRPr="002C5572">
              <w:rPr>
                <w:rFonts w:ascii="Calibri" w:hAnsi="Calibri"/>
                <w:sz w:val="24"/>
                <w:szCs w:val="24"/>
              </w:rPr>
              <w:t xml:space="preserve">The Trust Board is led by the Chair, Mr Roger French, with a team of five non-executive directors, five executive directors and two associate directors.  The executive team is led by the Chief Executive, Dr Alison Diamond.  There are two clinical divisions; Planned Care &amp; Unscheduled Care which includes the community and health and social care services.  The </w:t>
            </w:r>
            <w:r>
              <w:rPr>
                <w:rFonts w:ascii="Calibri" w:hAnsi="Calibri"/>
                <w:sz w:val="24"/>
                <w:szCs w:val="24"/>
              </w:rPr>
              <w:t>Trust Service Doctor (Medicine) post</w:t>
            </w:r>
            <w:r w:rsidRPr="002C5572">
              <w:rPr>
                <w:rFonts w:ascii="Calibri" w:hAnsi="Calibri"/>
                <w:sz w:val="24"/>
                <w:szCs w:val="24"/>
              </w:rPr>
              <w:t xml:space="preserve"> sit within Unscheduled Care.  The Associate Director of Operations (Unscheduled Care) is Sharon</w:t>
            </w:r>
            <w:r>
              <w:rPr>
                <w:rFonts w:ascii="Calibri" w:hAnsi="Calibri"/>
                <w:sz w:val="24"/>
                <w:szCs w:val="24"/>
              </w:rPr>
              <w:t xml:space="preserve"> Hinsley</w:t>
            </w:r>
            <w:r w:rsidRPr="002C5572">
              <w:rPr>
                <w:rFonts w:ascii="Calibri" w:hAnsi="Calibri"/>
                <w:sz w:val="24"/>
                <w:szCs w:val="24"/>
              </w:rPr>
              <w:t>.</w:t>
            </w:r>
          </w:p>
          <w:p w:rsidR="002C5572" w:rsidRPr="002C5572" w:rsidRDefault="002C5572" w:rsidP="002C5572">
            <w:pPr>
              <w:rPr>
                <w:rFonts w:ascii="Calibri" w:hAnsi="Calibri"/>
                <w:sz w:val="24"/>
                <w:szCs w:val="24"/>
              </w:rPr>
            </w:pPr>
          </w:p>
          <w:p w:rsidR="002C5572" w:rsidRDefault="002C5572" w:rsidP="002C5572">
            <w:pPr>
              <w:pStyle w:val="Heading2"/>
            </w:pPr>
            <w:r>
              <w:t>The Acute Hospital</w:t>
            </w:r>
          </w:p>
          <w:p w:rsidR="002C5572" w:rsidRPr="002C5572" w:rsidRDefault="002C5572" w:rsidP="002C5572">
            <w:pPr>
              <w:rPr>
                <w:rFonts w:asciiTheme="minorHAnsi" w:hAnsiTheme="minorHAnsi"/>
                <w:sz w:val="24"/>
                <w:szCs w:val="24"/>
              </w:rPr>
            </w:pPr>
            <w:r w:rsidRPr="002C5572">
              <w:rPr>
                <w:rFonts w:asciiTheme="minorHAnsi" w:hAnsiTheme="minorHAnsi"/>
                <w:sz w:val="24"/>
                <w:szCs w:val="24"/>
              </w:rPr>
              <w:t>North Devon District Hospital serves the local population of around 160,000.  It is estimated that the population will rise to 186,000 by 2030.</w:t>
            </w:r>
          </w:p>
          <w:p w:rsidR="002C5572" w:rsidRPr="002C5572" w:rsidRDefault="002C5572" w:rsidP="002C5572">
            <w:pPr>
              <w:rPr>
                <w:rFonts w:asciiTheme="minorHAnsi" w:hAnsiTheme="minorHAnsi"/>
                <w:sz w:val="24"/>
                <w:szCs w:val="24"/>
              </w:rPr>
            </w:pPr>
            <w:r w:rsidRPr="002C5572">
              <w:rPr>
                <w:rFonts w:asciiTheme="minorHAnsi" w:hAnsiTheme="minorHAnsi"/>
                <w:sz w:val="24"/>
                <w:szCs w:val="24"/>
              </w:rPr>
              <w:t>The hospital has approximately 250 inpatient beds, including intensive care and cardiac care facilities.</w:t>
            </w:r>
          </w:p>
          <w:p w:rsidR="002C5572" w:rsidRPr="002C5572" w:rsidRDefault="002C5572" w:rsidP="002C5572">
            <w:pPr>
              <w:rPr>
                <w:rFonts w:asciiTheme="minorHAnsi" w:hAnsiTheme="minorHAnsi"/>
                <w:sz w:val="24"/>
                <w:szCs w:val="24"/>
              </w:rPr>
            </w:pPr>
            <w:r w:rsidRPr="002C5572">
              <w:rPr>
                <w:rFonts w:asciiTheme="minorHAnsi" w:hAnsiTheme="minorHAnsi"/>
                <w:sz w:val="24"/>
                <w:szCs w:val="24"/>
              </w:rPr>
              <w:t>We employ more than 70 consultants, in all major specialties.  In addition, we work closely with other local Trusts to provide combined services in smaller specialties and robust clinical networks for cancer, vascular and neonatal services.  There are nine operating theatres, an accredited endoscopy suite and a new chemotherapy unit, with plans for further development.</w:t>
            </w:r>
          </w:p>
          <w:p w:rsidR="002C5572" w:rsidRDefault="002C5572" w:rsidP="002C5572">
            <w:pPr>
              <w:pStyle w:val="Heading2"/>
            </w:pPr>
            <w:r>
              <w:t>Academic Facilities</w:t>
            </w:r>
          </w:p>
          <w:p w:rsidR="002C5572" w:rsidRPr="002C5572" w:rsidRDefault="002C5572" w:rsidP="002C5572">
            <w:pPr>
              <w:rPr>
                <w:rFonts w:ascii="Calibri" w:hAnsi="Calibri"/>
                <w:sz w:val="24"/>
              </w:rPr>
            </w:pPr>
            <w:r w:rsidRPr="002C5572">
              <w:rPr>
                <w:rFonts w:ascii="Calibri" w:hAnsi="Calibri"/>
                <w:sz w:val="24"/>
              </w:rPr>
              <w:t>The Medical Education Centre is independently funded by the Peninsula Institute and its primary purpose is the provision of facilities, equipment and financial support to enable a wide range of medical professionals to continue their education and training.</w:t>
            </w:r>
          </w:p>
          <w:p w:rsidR="002C5572" w:rsidRPr="002C5572" w:rsidRDefault="002C5572" w:rsidP="002C5572">
            <w:pPr>
              <w:rPr>
                <w:rFonts w:ascii="Calibri" w:hAnsi="Calibri"/>
                <w:sz w:val="24"/>
              </w:rPr>
            </w:pPr>
            <w:r w:rsidRPr="002C5572">
              <w:rPr>
                <w:rFonts w:ascii="Calibri" w:hAnsi="Calibri"/>
                <w:sz w:val="24"/>
              </w:rPr>
              <w:t xml:space="preserve">There is a 70-seat lecture theatre, a clinical skills </w:t>
            </w:r>
            <w:proofErr w:type="spellStart"/>
            <w:r w:rsidRPr="002C5572">
              <w:rPr>
                <w:rFonts w:ascii="Calibri" w:hAnsi="Calibri"/>
                <w:sz w:val="24"/>
              </w:rPr>
              <w:t>centre</w:t>
            </w:r>
            <w:proofErr w:type="spellEnd"/>
            <w:r w:rsidRPr="002C5572">
              <w:rPr>
                <w:rFonts w:ascii="Calibri" w:hAnsi="Calibri"/>
                <w:sz w:val="24"/>
              </w:rPr>
              <w:t xml:space="preserve"> and several classrooms.  Recently a new simulation suite has opened, creating a facility for multi-professional training, including trauma team training.</w:t>
            </w:r>
          </w:p>
          <w:p w:rsidR="002C5572" w:rsidRPr="002C5572" w:rsidRDefault="002C5572" w:rsidP="002C5572">
            <w:pPr>
              <w:rPr>
                <w:rFonts w:ascii="Calibri" w:hAnsi="Calibri"/>
                <w:sz w:val="24"/>
              </w:rPr>
            </w:pPr>
            <w:r w:rsidRPr="002C5572">
              <w:rPr>
                <w:rFonts w:ascii="Calibri" w:hAnsi="Calibri"/>
                <w:sz w:val="24"/>
              </w:rPr>
              <w:t>Dual-flat screen, video-conference facilities, linked to other units in the region are available for clinical meetings, including regional MDTs, as well as training events.</w:t>
            </w:r>
          </w:p>
          <w:p w:rsidR="002C5572" w:rsidRPr="002C5572" w:rsidRDefault="002C5572" w:rsidP="002C5572">
            <w:pPr>
              <w:rPr>
                <w:rFonts w:ascii="Calibri" w:hAnsi="Calibri"/>
                <w:sz w:val="24"/>
              </w:rPr>
            </w:pPr>
            <w:r w:rsidRPr="002C5572">
              <w:rPr>
                <w:rFonts w:ascii="Calibri" w:hAnsi="Calibri"/>
                <w:sz w:val="24"/>
              </w:rPr>
              <w:lastRenderedPageBreak/>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p>
          <w:p w:rsidR="002C5572" w:rsidRPr="002C5572" w:rsidRDefault="002C5572" w:rsidP="002C5572">
            <w:pPr>
              <w:rPr>
                <w:rFonts w:ascii="Calibri" w:hAnsi="Calibri"/>
                <w:sz w:val="24"/>
              </w:rPr>
            </w:pPr>
            <w:r w:rsidRPr="002C5572">
              <w:rPr>
                <w:rFonts w:ascii="Calibri" w:hAnsi="Calibri"/>
                <w:sz w:val="24"/>
              </w:rPr>
              <w:t>Local, regional and national electronic library resources are made available across the Trust and for staff to access from home.</w:t>
            </w:r>
          </w:p>
          <w:p w:rsidR="002C5572" w:rsidRDefault="002C5572" w:rsidP="002C5572">
            <w:pPr>
              <w:pStyle w:val="Heading2"/>
            </w:pPr>
            <w:r>
              <w:t>Medical School Links</w:t>
            </w:r>
          </w:p>
          <w:p w:rsidR="002C5572" w:rsidRDefault="002C5572" w:rsidP="002C5572">
            <w:pPr>
              <w:rPr>
                <w:rFonts w:ascii="Calibri" w:hAnsi="Calibri"/>
                <w:sz w:val="24"/>
              </w:rPr>
            </w:pPr>
            <w:r w:rsidRPr="002C5572">
              <w:rPr>
                <w:rFonts w:ascii="Calibri" w:hAnsi="Calibri"/>
                <w:sz w:val="24"/>
              </w:rPr>
              <w:t xml:space="preserve">There have been recent changes to the Medical School provision in the South West.  We currently take students from the Peninsula Medical School and as the changes are implemented over the next five years, we will take students from the newly created Exeter Medical School.  Student numbers continue to rise year on year and there are many opportunities for involvement with teaching </w:t>
            </w:r>
            <w:proofErr w:type="spellStart"/>
            <w:r w:rsidRPr="002C5572">
              <w:rPr>
                <w:rFonts w:ascii="Calibri" w:hAnsi="Calibri"/>
                <w:sz w:val="24"/>
              </w:rPr>
              <w:t>programmes</w:t>
            </w:r>
            <w:proofErr w:type="spellEnd"/>
            <w:r w:rsidRPr="002C5572">
              <w:rPr>
                <w:rFonts w:ascii="Calibri" w:hAnsi="Calibri"/>
                <w:sz w:val="24"/>
              </w:rPr>
              <w:t>.</w:t>
            </w:r>
          </w:p>
          <w:p w:rsidR="002C5572" w:rsidRDefault="002C5572" w:rsidP="002C5572">
            <w:pPr>
              <w:rPr>
                <w:rFonts w:ascii="Calibri" w:hAnsi="Calibri"/>
                <w:sz w:val="24"/>
              </w:rPr>
            </w:pPr>
          </w:p>
          <w:p w:rsidR="00DF266E" w:rsidRDefault="002C5572" w:rsidP="002C5572">
            <w:pPr>
              <w:pStyle w:val="NormalWeb"/>
              <w:rPr>
                <w:rFonts w:ascii="Calibri" w:hAnsi="Calibri" w:cs="Arial"/>
              </w:rPr>
            </w:pPr>
            <w:r w:rsidRPr="008C716B">
              <w:rPr>
                <w:rFonts w:ascii="Calibri" w:hAnsi="Calibri" w:cs="Arial"/>
              </w:rPr>
              <w:t xml:space="preserve">More information is available on our website: </w:t>
            </w:r>
            <w:hyperlink r:id="rId8" w:history="1">
              <w:r w:rsidRPr="00AB7819">
                <w:rPr>
                  <w:rStyle w:val="Hyperlink"/>
                  <w:rFonts w:ascii="Calibri" w:hAnsi="Calibri" w:cs="Arial"/>
                </w:rPr>
                <w:t>www.northdevonhealth.nhs.uk</w:t>
              </w:r>
            </w:hyperlink>
            <w:r>
              <w:rPr>
                <w:rFonts w:ascii="Calibri" w:hAnsi="Calibri" w:cs="Arial"/>
              </w:rPr>
              <w:t xml:space="preserve"> </w:t>
            </w:r>
          </w:p>
          <w:p w:rsidR="002C5572" w:rsidRPr="002F1BA4" w:rsidRDefault="002C5572" w:rsidP="002C5572">
            <w:pPr>
              <w:pStyle w:val="NormalWeb"/>
              <w:rPr>
                <w:rFonts w:ascii="Calibri" w:hAnsi="Calibri"/>
              </w:rPr>
            </w:pPr>
          </w:p>
        </w:tc>
      </w:tr>
    </w:tbl>
    <w:p w:rsidR="00DF266E" w:rsidRPr="009B3E08" w:rsidRDefault="00DF266E">
      <w:pPr>
        <w:pStyle w:val="bodytext"/>
        <w:rPr>
          <w:szCs w:val="24"/>
        </w:rPr>
      </w:pPr>
    </w:p>
    <w:p w:rsidR="00DF266E" w:rsidRPr="009B3E08" w:rsidRDefault="00DF266E">
      <w:pPr>
        <w:pStyle w:val="bodytext"/>
        <w:rPr>
          <w:szCs w:val="24"/>
        </w:rPr>
      </w:pPr>
    </w:p>
    <w:sectPr w:rsidR="00DF266E" w:rsidRPr="009B3E08" w:rsidSect="00403AB8">
      <w:headerReference w:type="default" r:id="rId9"/>
      <w:headerReference w:type="first" r:id="rId10"/>
      <w:pgSz w:w="11906" w:h="16838" w:code="9"/>
      <w:pgMar w:top="1440"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66E" w:rsidRDefault="00DF266E">
      <w:r>
        <w:separator/>
      </w:r>
    </w:p>
  </w:endnote>
  <w:endnote w:type="continuationSeparator" w:id="0">
    <w:p w:rsidR="00DF266E" w:rsidRDefault="00DF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66E" w:rsidRDefault="00DF266E">
      <w:r>
        <w:separator/>
      </w:r>
    </w:p>
  </w:footnote>
  <w:footnote w:type="continuationSeparator" w:id="0">
    <w:p w:rsidR="00DF266E" w:rsidRDefault="00DF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66E" w:rsidRDefault="00DF266E" w:rsidP="00944290">
    <w:pPr>
      <w:pStyle w:val="Header"/>
      <w:tabs>
        <w:tab w:val="left" w:pos="1350"/>
        <w:tab w:val="left" w:pos="1620"/>
        <w:tab w:val="right" w:pos="907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66E" w:rsidRDefault="000161CA">
    <w:pPr>
      <w:pStyle w:val="Header"/>
      <w:jc w:val="right"/>
    </w:pPr>
    <w:r>
      <w:rPr>
        <w:noProof/>
        <w:lang w:val="en-GB" w:eastAsia="en-GB"/>
      </w:rPr>
      <w:drawing>
        <wp:inline distT="0" distB="0" distL="0" distR="0">
          <wp:extent cx="29718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06B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 w15:restartNumberingAfterBreak="0">
    <w:nsid w:val="07E62100"/>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CB658A2"/>
    <w:multiLevelType w:val="singleLevel"/>
    <w:tmpl w:val="0809000F"/>
    <w:lvl w:ilvl="0">
      <w:start w:val="8"/>
      <w:numFmt w:val="decimal"/>
      <w:lvlText w:val="%1."/>
      <w:lvlJc w:val="left"/>
      <w:pPr>
        <w:tabs>
          <w:tab w:val="num" w:pos="360"/>
        </w:tabs>
        <w:ind w:left="360" w:hanging="360"/>
      </w:pPr>
      <w:rPr>
        <w:rFonts w:cs="Times New Roman" w:hint="default"/>
      </w:rPr>
    </w:lvl>
  </w:abstractNum>
  <w:abstractNum w:abstractNumId="3" w15:restartNumberingAfterBreak="0">
    <w:nsid w:val="121D061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 w15:restartNumberingAfterBreak="0">
    <w:nsid w:val="1A527920"/>
    <w:multiLevelType w:val="hybridMultilevel"/>
    <w:tmpl w:val="6ED0B2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2067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6" w15:restartNumberingAfterBreak="0">
    <w:nsid w:val="312B0DB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31874B79"/>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0B52CD"/>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CA705C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0" w15:restartNumberingAfterBreak="0">
    <w:nsid w:val="3F753960"/>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BD0367C"/>
    <w:multiLevelType w:val="hybridMultilevel"/>
    <w:tmpl w:val="078E13D6"/>
    <w:lvl w:ilvl="0" w:tplc="59605562">
      <w:start w:val="1"/>
      <w:numFmt w:val="bullet"/>
      <w:lvlText w:val=""/>
      <w:lvlJc w:val="left"/>
      <w:pPr>
        <w:ind w:left="567" w:hanging="283"/>
      </w:pPr>
      <w:rPr>
        <w:rFonts w:ascii="Symbol" w:hAnsi="Symbol" w:hint="default"/>
        <w:b w:val="0"/>
        <w:i w:val="0"/>
        <w:color w:val="548DD4" w:themeColor="text2" w:themeTint="99"/>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D3223"/>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8BB391F"/>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600F58AF"/>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31F74CF"/>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BE3EEB"/>
    <w:multiLevelType w:val="multilevel"/>
    <w:tmpl w:val="D9FC566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6A7D18F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8" w15:restartNumberingAfterBreak="0">
    <w:nsid w:val="7275468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9" w15:restartNumberingAfterBreak="0">
    <w:nsid w:val="7C004DCD"/>
    <w:multiLevelType w:val="singleLevel"/>
    <w:tmpl w:val="CA223240"/>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FE41FAC"/>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14"/>
  </w:num>
  <w:num w:numId="2">
    <w:abstractNumId w:val="18"/>
  </w:num>
  <w:num w:numId="3">
    <w:abstractNumId w:val="8"/>
  </w:num>
  <w:num w:numId="4">
    <w:abstractNumId w:val="12"/>
  </w:num>
  <w:num w:numId="5">
    <w:abstractNumId w:val="7"/>
  </w:num>
  <w:num w:numId="6">
    <w:abstractNumId w:val="6"/>
  </w:num>
  <w:num w:numId="7">
    <w:abstractNumId w:val="15"/>
  </w:num>
  <w:num w:numId="8">
    <w:abstractNumId w:val="19"/>
  </w:num>
  <w:num w:numId="9">
    <w:abstractNumId w:val="20"/>
  </w:num>
  <w:num w:numId="10">
    <w:abstractNumId w:val="1"/>
  </w:num>
  <w:num w:numId="11">
    <w:abstractNumId w:val="10"/>
  </w:num>
  <w:num w:numId="12">
    <w:abstractNumId w:val="13"/>
  </w:num>
  <w:num w:numId="13">
    <w:abstractNumId w:val="0"/>
  </w:num>
  <w:num w:numId="14">
    <w:abstractNumId w:val="3"/>
  </w:num>
  <w:num w:numId="15">
    <w:abstractNumId w:val="9"/>
  </w:num>
  <w:num w:numId="16">
    <w:abstractNumId w:val="5"/>
  </w:num>
  <w:num w:numId="17">
    <w:abstractNumId w:val="17"/>
  </w:num>
  <w:num w:numId="18">
    <w:abstractNumId w:val="2"/>
  </w:num>
  <w:num w:numId="19">
    <w:abstractNumId w:val="16"/>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DB"/>
    <w:rsid w:val="0000727F"/>
    <w:rsid w:val="000161CA"/>
    <w:rsid w:val="00026E09"/>
    <w:rsid w:val="00047B0A"/>
    <w:rsid w:val="0005138D"/>
    <w:rsid w:val="000650B6"/>
    <w:rsid w:val="00066D84"/>
    <w:rsid w:val="000976F0"/>
    <w:rsid w:val="000D2DFE"/>
    <w:rsid w:val="001136E3"/>
    <w:rsid w:val="001153DD"/>
    <w:rsid w:val="0014542B"/>
    <w:rsid w:val="00151199"/>
    <w:rsid w:val="001922F3"/>
    <w:rsid w:val="001D2C22"/>
    <w:rsid w:val="001F482C"/>
    <w:rsid w:val="002307DD"/>
    <w:rsid w:val="002313C9"/>
    <w:rsid w:val="00244FB6"/>
    <w:rsid w:val="00252103"/>
    <w:rsid w:val="002630E4"/>
    <w:rsid w:val="002C5572"/>
    <w:rsid w:val="002D59B7"/>
    <w:rsid w:val="002F1BA4"/>
    <w:rsid w:val="00371A81"/>
    <w:rsid w:val="0037231E"/>
    <w:rsid w:val="003C2F1B"/>
    <w:rsid w:val="00403AB8"/>
    <w:rsid w:val="00403E14"/>
    <w:rsid w:val="00406B09"/>
    <w:rsid w:val="00484806"/>
    <w:rsid w:val="004E4719"/>
    <w:rsid w:val="00516417"/>
    <w:rsid w:val="00560E90"/>
    <w:rsid w:val="00580A9A"/>
    <w:rsid w:val="005A526D"/>
    <w:rsid w:val="005D0AE6"/>
    <w:rsid w:val="005D52FD"/>
    <w:rsid w:val="005F6684"/>
    <w:rsid w:val="00641DFE"/>
    <w:rsid w:val="00657D3C"/>
    <w:rsid w:val="00715C70"/>
    <w:rsid w:val="00731782"/>
    <w:rsid w:val="0077738C"/>
    <w:rsid w:val="00786801"/>
    <w:rsid w:val="007D1BBB"/>
    <w:rsid w:val="008051C5"/>
    <w:rsid w:val="00825BE1"/>
    <w:rsid w:val="00836B74"/>
    <w:rsid w:val="00890E51"/>
    <w:rsid w:val="008C0C82"/>
    <w:rsid w:val="008C266B"/>
    <w:rsid w:val="008C716B"/>
    <w:rsid w:val="008F23D4"/>
    <w:rsid w:val="00904BA0"/>
    <w:rsid w:val="00944290"/>
    <w:rsid w:val="00967755"/>
    <w:rsid w:val="00995DBD"/>
    <w:rsid w:val="009A422F"/>
    <w:rsid w:val="009B3E08"/>
    <w:rsid w:val="009B5ED4"/>
    <w:rsid w:val="009C61C3"/>
    <w:rsid w:val="00A121D9"/>
    <w:rsid w:val="00A5065F"/>
    <w:rsid w:val="00AB0B51"/>
    <w:rsid w:val="00AB7819"/>
    <w:rsid w:val="00B2632D"/>
    <w:rsid w:val="00B370E2"/>
    <w:rsid w:val="00BB2EA3"/>
    <w:rsid w:val="00BC2FCF"/>
    <w:rsid w:val="00BF17C9"/>
    <w:rsid w:val="00C4134A"/>
    <w:rsid w:val="00C774E7"/>
    <w:rsid w:val="00C86FCC"/>
    <w:rsid w:val="00CB1B12"/>
    <w:rsid w:val="00CE5A6D"/>
    <w:rsid w:val="00D257BC"/>
    <w:rsid w:val="00D27D18"/>
    <w:rsid w:val="00D53FC1"/>
    <w:rsid w:val="00D545DB"/>
    <w:rsid w:val="00D96162"/>
    <w:rsid w:val="00DD38F7"/>
    <w:rsid w:val="00DF1D9E"/>
    <w:rsid w:val="00DF266E"/>
    <w:rsid w:val="00E3045F"/>
    <w:rsid w:val="00E61CB6"/>
    <w:rsid w:val="00E71139"/>
    <w:rsid w:val="00E72E7D"/>
    <w:rsid w:val="00F1525A"/>
    <w:rsid w:val="00F33DE9"/>
    <w:rsid w:val="00F87CBD"/>
    <w:rsid w:val="00F915FD"/>
    <w:rsid w:val="00FA19C1"/>
    <w:rsid w:val="00FE2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43009"/>
    <o:shapelayout v:ext="edit">
      <o:idmap v:ext="edit" data="1"/>
    </o:shapelayout>
  </w:shapeDefaults>
  <w:decimalSymbol w:val="."/>
  <w:listSeparator w:val=","/>
  <w14:docId w14:val="136C0F94"/>
  <w15:docId w15:val="{3BFFABEA-FEF9-47CE-B21D-C5675E19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AB8"/>
    <w:pPr>
      <w:spacing w:after="60"/>
    </w:pPr>
    <w:rPr>
      <w:sz w:val="20"/>
      <w:szCs w:val="20"/>
      <w:lang w:val="en-US" w:eastAsia="en-US"/>
    </w:rPr>
  </w:style>
  <w:style w:type="paragraph" w:styleId="Heading1">
    <w:name w:val="heading 1"/>
    <w:basedOn w:val="Normal"/>
    <w:next w:val="bodytext"/>
    <w:link w:val="Heading1Char"/>
    <w:uiPriority w:val="99"/>
    <w:qFormat/>
    <w:rsid w:val="00403AB8"/>
    <w:pPr>
      <w:keepNext/>
      <w:spacing w:after="0"/>
      <w:outlineLvl w:val="0"/>
    </w:pPr>
    <w:rPr>
      <w:rFonts w:ascii="Arial" w:hAnsi="Arial"/>
      <w:b/>
      <w:kern w:val="28"/>
      <w:sz w:val="24"/>
    </w:rPr>
  </w:style>
  <w:style w:type="paragraph" w:styleId="Heading2">
    <w:name w:val="heading 2"/>
    <w:basedOn w:val="Normal"/>
    <w:next w:val="bodytext"/>
    <w:link w:val="Heading2Char"/>
    <w:uiPriority w:val="99"/>
    <w:qFormat/>
    <w:rsid w:val="00403AB8"/>
    <w:pPr>
      <w:keepNext/>
      <w:spacing w:after="0"/>
      <w:outlineLvl w:val="1"/>
    </w:pPr>
    <w:rPr>
      <w:rFonts w:ascii="Arial" w:hAnsi="Arial"/>
      <w:b/>
      <w:color w:val="000080"/>
      <w:sz w:val="23"/>
    </w:rPr>
  </w:style>
  <w:style w:type="paragraph" w:styleId="Heading3">
    <w:name w:val="heading 3"/>
    <w:basedOn w:val="Normal"/>
    <w:next w:val="bodytext"/>
    <w:link w:val="Heading3Char"/>
    <w:uiPriority w:val="99"/>
    <w:qFormat/>
    <w:rsid w:val="00403AB8"/>
    <w:pPr>
      <w:keepNext/>
      <w:spacing w:after="0"/>
      <w:outlineLvl w:val="2"/>
    </w:pPr>
    <w:rPr>
      <w:rFonts w:ascii="Arial" w:hAnsi="Arial"/>
      <w:b/>
      <w:color w:val="000080"/>
      <w:sz w:val="21"/>
    </w:rPr>
  </w:style>
  <w:style w:type="paragraph" w:styleId="Heading4">
    <w:name w:val="heading 4"/>
    <w:basedOn w:val="Normal"/>
    <w:next w:val="Normal"/>
    <w:link w:val="Heading4Char"/>
    <w:uiPriority w:val="99"/>
    <w:qFormat/>
    <w:rsid w:val="00403AB8"/>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727F"/>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00727F"/>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00727F"/>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00727F"/>
    <w:rPr>
      <w:rFonts w:ascii="Calibri" w:hAnsi="Calibri" w:cs="Times New Roman"/>
      <w:b/>
      <w:bCs/>
      <w:sz w:val="28"/>
      <w:szCs w:val="28"/>
      <w:lang w:val="en-US" w:eastAsia="en-US"/>
    </w:rPr>
  </w:style>
  <w:style w:type="paragraph" w:customStyle="1" w:styleId="bodytext">
    <w:name w:val="bodytext"/>
    <w:basedOn w:val="Normal"/>
    <w:uiPriority w:val="99"/>
    <w:rsid w:val="00403AB8"/>
    <w:pPr>
      <w:spacing w:after="0"/>
    </w:pPr>
    <w:rPr>
      <w:rFonts w:ascii="Arial" w:hAnsi="Arial"/>
      <w:sz w:val="24"/>
    </w:rPr>
  </w:style>
  <w:style w:type="paragraph" w:customStyle="1" w:styleId="PageHeader">
    <w:name w:val="PageHeader"/>
    <w:basedOn w:val="Normal"/>
    <w:next w:val="bodytext"/>
    <w:uiPriority w:val="99"/>
    <w:rsid w:val="00403AB8"/>
    <w:pPr>
      <w:spacing w:after="0"/>
    </w:pPr>
    <w:rPr>
      <w:rFonts w:ascii="Arial" w:hAnsi="Arial"/>
      <w:b/>
      <w:sz w:val="32"/>
    </w:rPr>
  </w:style>
  <w:style w:type="paragraph" w:styleId="Header">
    <w:name w:val="header"/>
    <w:basedOn w:val="Normal"/>
    <w:link w:val="HeaderChar"/>
    <w:uiPriority w:val="99"/>
    <w:rsid w:val="00403AB8"/>
    <w:pPr>
      <w:tabs>
        <w:tab w:val="center" w:pos="4153"/>
        <w:tab w:val="right" w:pos="8306"/>
      </w:tabs>
    </w:pPr>
  </w:style>
  <w:style w:type="character" w:customStyle="1" w:styleId="HeaderChar">
    <w:name w:val="Header Char"/>
    <w:basedOn w:val="DefaultParagraphFont"/>
    <w:link w:val="Header"/>
    <w:uiPriority w:val="99"/>
    <w:semiHidden/>
    <w:locked/>
    <w:rsid w:val="0000727F"/>
    <w:rPr>
      <w:rFonts w:cs="Times New Roman"/>
      <w:sz w:val="20"/>
      <w:szCs w:val="20"/>
      <w:lang w:val="en-US" w:eastAsia="en-US"/>
    </w:rPr>
  </w:style>
  <w:style w:type="paragraph" w:styleId="Footer">
    <w:name w:val="footer"/>
    <w:basedOn w:val="Normal"/>
    <w:link w:val="FooterChar"/>
    <w:uiPriority w:val="99"/>
    <w:rsid w:val="00403AB8"/>
    <w:pPr>
      <w:tabs>
        <w:tab w:val="center" w:pos="4153"/>
        <w:tab w:val="right" w:pos="8306"/>
      </w:tabs>
    </w:pPr>
  </w:style>
  <w:style w:type="character" w:customStyle="1" w:styleId="FooterChar">
    <w:name w:val="Footer Char"/>
    <w:basedOn w:val="DefaultParagraphFont"/>
    <w:link w:val="Footer"/>
    <w:uiPriority w:val="99"/>
    <w:semiHidden/>
    <w:locked/>
    <w:rsid w:val="0000727F"/>
    <w:rPr>
      <w:rFonts w:cs="Times New Roman"/>
      <w:sz w:val="20"/>
      <w:szCs w:val="20"/>
      <w:lang w:val="en-US" w:eastAsia="en-US"/>
    </w:rPr>
  </w:style>
  <w:style w:type="paragraph" w:styleId="BalloonText">
    <w:name w:val="Balloon Text"/>
    <w:basedOn w:val="Normal"/>
    <w:link w:val="BalloonTextChar"/>
    <w:uiPriority w:val="99"/>
    <w:semiHidden/>
    <w:rsid w:val="00CE5A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27F"/>
    <w:rPr>
      <w:rFonts w:cs="Times New Roman"/>
      <w:sz w:val="2"/>
      <w:lang w:val="en-US" w:eastAsia="en-US"/>
    </w:rPr>
  </w:style>
  <w:style w:type="paragraph" w:styleId="NormalWeb">
    <w:name w:val="Normal (Web)"/>
    <w:basedOn w:val="Normal"/>
    <w:uiPriority w:val="99"/>
    <w:rsid w:val="008C716B"/>
    <w:pPr>
      <w:spacing w:before="100" w:beforeAutospacing="1" w:after="100" w:afterAutospacing="1"/>
    </w:pPr>
    <w:rPr>
      <w:sz w:val="24"/>
      <w:szCs w:val="24"/>
      <w:lang w:val="en-GB" w:eastAsia="en-GB"/>
    </w:rPr>
  </w:style>
  <w:style w:type="character" w:styleId="Hyperlink">
    <w:name w:val="Hyperlink"/>
    <w:basedOn w:val="DefaultParagraphFont"/>
    <w:uiPriority w:val="99"/>
    <w:rsid w:val="008C716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579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hdevonhealth.nhs.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10687</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THIS IS THE DOCUMENT TITLE</vt:lpstr>
    </vt:vector>
  </TitlesOfParts>
  <Company>Northern Devon Healthcare</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DOCUMENT TITLE</dc:title>
  <dc:creator>whitaker</dc:creator>
  <cp:lastModifiedBy>CLARKE, Jennifer (ROYAL DEVON UNIVERSITY HEALTHCARE NHS FOUNDATION TRUST)</cp:lastModifiedBy>
  <cp:revision>2</cp:revision>
  <cp:lastPrinted>2016-04-05T10:28:00Z</cp:lastPrinted>
  <dcterms:created xsi:type="dcterms:W3CDTF">2022-08-12T14:48:00Z</dcterms:created>
  <dcterms:modified xsi:type="dcterms:W3CDTF">2022-08-12T14:48:00Z</dcterms:modified>
</cp:coreProperties>
</file>