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39E1" w:rsidRDefault="00F639E1" w:rsidP="00F639E1">
      <w:pPr>
        <w:jc w:val="center"/>
        <w:rPr>
          <w:rFonts w:ascii="Arial" w:hAnsi="Arial" w:cs="Arial"/>
          <w:b/>
          <w:sz w:val="22"/>
          <w:szCs w:val="22"/>
        </w:rPr>
      </w:pPr>
      <w:r w:rsidRPr="008C2692">
        <w:rPr>
          <w:rFonts w:ascii="Arial" w:hAnsi="Arial" w:cs="Arial"/>
          <w:b/>
          <w:sz w:val="22"/>
          <w:szCs w:val="22"/>
        </w:rPr>
        <w:t xml:space="preserve">ROYAL DEVON </w:t>
      </w:r>
      <w:r w:rsidR="003B66AB">
        <w:rPr>
          <w:rFonts w:ascii="Arial" w:hAnsi="Arial" w:cs="Arial"/>
          <w:b/>
          <w:sz w:val="22"/>
          <w:szCs w:val="22"/>
        </w:rPr>
        <w:t>UNIVERSITY HEALTHCARE NHS</w:t>
      </w:r>
      <w:r w:rsidRPr="008C2692">
        <w:rPr>
          <w:rFonts w:ascii="Arial" w:hAnsi="Arial" w:cs="Arial"/>
          <w:b/>
          <w:sz w:val="22"/>
          <w:szCs w:val="22"/>
        </w:rPr>
        <w:t xml:space="preserve"> FOUNDATION TRUST</w:t>
      </w:r>
    </w:p>
    <w:p w:rsidR="003B66AB" w:rsidRDefault="003B66AB" w:rsidP="00F639E1">
      <w:pPr>
        <w:jc w:val="center"/>
        <w:rPr>
          <w:rFonts w:ascii="Arial" w:hAnsi="Arial" w:cs="Arial"/>
          <w:b/>
          <w:sz w:val="22"/>
          <w:szCs w:val="22"/>
        </w:rPr>
      </w:pPr>
    </w:p>
    <w:p w:rsidR="003B66AB" w:rsidRDefault="003B66AB" w:rsidP="00F639E1">
      <w:pPr>
        <w:jc w:val="center"/>
        <w:rPr>
          <w:rFonts w:ascii="Arial" w:hAnsi="Arial" w:cs="Arial"/>
          <w:b/>
          <w:sz w:val="22"/>
          <w:szCs w:val="22"/>
        </w:rPr>
      </w:pPr>
    </w:p>
    <w:p w:rsidR="003B66AB" w:rsidRDefault="003B66AB" w:rsidP="00F639E1">
      <w:pPr>
        <w:jc w:val="center"/>
        <w:rPr>
          <w:rFonts w:ascii="Arial" w:hAnsi="Arial" w:cs="Arial"/>
          <w:b/>
          <w:sz w:val="22"/>
          <w:szCs w:val="22"/>
        </w:rPr>
      </w:pPr>
      <w:r>
        <w:rPr>
          <w:rFonts w:ascii="Arial" w:hAnsi="Arial" w:cs="Arial"/>
          <w:b/>
          <w:sz w:val="22"/>
          <w:szCs w:val="22"/>
        </w:rPr>
        <w:t>JOB DESCRIPTION</w:t>
      </w:r>
    </w:p>
    <w:p w:rsidR="003B66AB" w:rsidRPr="008C2692" w:rsidRDefault="003B66AB" w:rsidP="00F639E1">
      <w:pPr>
        <w:jc w:val="center"/>
        <w:rPr>
          <w:rFonts w:ascii="Arial" w:hAnsi="Arial" w:cs="Arial"/>
          <w:b/>
          <w:sz w:val="22"/>
          <w:szCs w:val="22"/>
        </w:rPr>
      </w:pPr>
    </w:p>
    <w:p w:rsidR="00F639E1" w:rsidRPr="008C2692" w:rsidRDefault="00F639E1" w:rsidP="00F639E1">
      <w:pPr>
        <w:jc w:val="center"/>
        <w:rPr>
          <w:rFonts w:ascii="Arial" w:hAnsi="Arial" w:cs="Arial"/>
          <w:b/>
          <w:sz w:val="22"/>
          <w:szCs w:val="22"/>
        </w:rPr>
      </w:pPr>
    </w:p>
    <w:p w:rsidR="00F639E1" w:rsidRDefault="00DB3178" w:rsidP="00F639E1">
      <w:pPr>
        <w:jc w:val="center"/>
        <w:rPr>
          <w:rFonts w:ascii="Arial" w:hAnsi="Arial" w:cs="Arial"/>
          <w:b/>
          <w:sz w:val="22"/>
          <w:szCs w:val="22"/>
        </w:rPr>
      </w:pPr>
      <w:r>
        <w:rPr>
          <w:rFonts w:ascii="Arial" w:hAnsi="Arial" w:cs="Arial"/>
          <w:b/>
          <w:sz w:val="22"/>
          <w:szCs w:val="22"/>
        </w:rPr>
        <w:t>Senior IBD Fellow – Clinical and research</w:t>
      </w:r>
    </w:p>
    <w:p w:rsidR="003B66AB" w:rsidRPr="008C2692" w:rsidRDefault="003B66AB" w:rsidP="00F639E1">
      <w:pPr>
        <w:jc w:val="center"/>
        <w:rPr>
          <w:rFonts w:ascii="Arial" w:hAnsi="Arial" w:cs="Arial"/>
          <w:b/>
          <w:sz w:val="22"/>
          <w:szCs w:val="22"/>
        </w:rPr>
      </w:pPr>
    </w:p>
    <w:p w:rsidR="00F639E1" w:rsidRPr="008C2692" w:rsidRDefault="00F639E1" w:rsidP="00F639E1">
      <w:pPr>
        <w:jc w:val="both"/>
        <w:rPr>
          <w:rFonts w:ascii="Arial" w:hAnsi="Arial" w:cs="Arial"/>
          <w:sz w:val="22"/>
          <w:szCs w:val="22"/>
        </w:rPr>
      </w:pPr>
    </w:p>
    <w:p w:rsidR="00F639E1" w:rsidRPr="008C2692" w:rsidRDefault="00F639E1" w:rsidP="00F639E1">
      <w:pPr>
        <w:pStyle w:val="header2"/>
        <w:jc w:val="both"/>
        <w:rPr>
          <w:sz w:val="22"/>
          <w:szCs w:val="22"/>
        </w:rPr>
      </w:pPr>
      <w:r w:rsidRPr="008C2692">
        <w:rPr>
          <w:sz w:val="22"/>
          <w:szCs w:val="22"/>
        </w:rPr>
        <w:t>General Description</w:t>
      </w:r>
    </w:p>
    <w:p w:rsidR="00F639E1" w:rsidRPr="008C2692" w:rsidRDefault="00F639E1" w:rsidP="00F639E1">
      <w:pPr>
        <w:pStyle w:val="body"/>
        <w:tabs>
          <w:tab w:val="left" w:pos="4080"/>
        </w:tabs>
        <w:jc w:val="both"/>
        <w:rPr>
          <w:b/>
          <w:bCs/>
          <w:sz w:val="22"/>
          <w:szCs w:val="22"/>
        </w:rPr>
      </w:pPr>
    </w:p>
    <w:p w:rsidR="00F639E1" w:rsidRPr="00DC12FA" w:rsidRDefault="00F639E1" w:rsidP="00F639E1">
      <w:pPr>
        <w:jc w:val="both"/>
        <w:rPr>
          <w:rFonts w:ascii="Arial" w:hAnsi="Arial" w:cs="Arial"/>
          <w:sz w:val="22"/>
          <w:szCs w:val="22"/>
        </w:rPr>
      </w:pPr>
      <w:r w:rsidRPr="00DC12FA">
        <w:rPr>
          <w:rFonts w:ascii="Arial" w:hAnsi="Arial" w:cs="Arial"/>
          <w:sz w:val="22"/>
          <w:szCs w:val="22"/>
        </w:rPr>
        <w:t>We are a newly formed NHS Foundation</w:t>
      </w:r>
      <w:r>
        <w:rPr>
          <w:rFonts w:ascii="Arial" w:hAnsi="Arial" w:cs="Arial"/>
          <w:sz w:val="22"/>
          <w:szCs w:val="22"/>
        </w:rPr>
        <w:t xml:space="preserve"> </w:t>
      </w:r>
      <w:r w:rsidRPr="00DC12FA">
        <w:rPr>
          <w:rFonts w:ascii="Arial" w:hAnsi="Arial" w:cs="Arial"/>
          <w:sz w:val="22"/>
          <w:szCs w:val="22"/>
        </w:rPr>
        <w:t>Trust with a vast geographical footprint,</w:t>
      </w:r>
      <w:r>
        <w:rPr>
          <w:rFonts w:ascii="Arial" w:hAnsi="Arial" w:cs="Arial"/>
          <w:sz w:val="22"/>
          <w:szCs w:val="22"/>
        </w:rPr>
        <w:t xml:space="preserve"> </w:t>
      </w:r>
      <w:r w:rsidRPr="00DC12FA">
        <w:rPr>
          <w:rFonts w:ascii="Arial" w:hAnsi="Arial" w:cs="Arial"/>
          <w:sz w:val="22"/>
          <w:szCs w:val="22"/>
        </w:rPr>
        <w:t xml:space="preserve">serving a </w:t>
      </w:r>
      <w:r>
        <w:rPr>
          <w:rFonts w:ascii="Arial" w:hAnsi="Arial" w:cs="Arial"/>
          <w:sz w:val="22"/>
          <w:szCs w:val="22"/>
        </w:rPr>
        <w:t>population</w:t>
      </w:r>
      <w:r w:rsidRPr="00DC12FA">
        <w:rPr>
          <w:rFonts w:ascii="Arial" w:hAnsi="Arial" w:cs="Arial"/>
          <w:sz w:val="22"/>
          <w:szCs w:val="22"/>
        </w:rPr>
        <w:t xml:space="preserve"> of over 615,000 people</w:t>
      </w:r>
      <w:r>
        <w:rPr>
          <w:rFonts w:ascii="Arial" w:hAnsi="Arial" w:cs="Arial"/>
          <w:sz w:val="22"/>
          <w:szCs w:val="22"/>
        </w:rPr>
        <w:t xml:space="preserve"> </w:t>
      </w:r>
      <w:r w:rsidRPr="00DC12FA">
        <w:rPr>
          <w:rFonts w:ascii="Arial" w:hAnsi="Arial" w:cs="Arial"/>
          <w:sz w:val="22"/>
          <w:szCs w:val="22"/>
        </w:rPr>
        <w:t>and covering more than 2000 square miles</w:t>
      </w:r>
      <w:r>
        <w:rPr>
          <w:rFonts w:ascii="Arial" w:hAnsi="Arial" w:cs="Arial"/>
          <w:sz w:val="22"/>
          <w:szCs w:val="22"/>
        </w:rPr>
        <w:t xml:space="preserve"> </w:t>
      </w:r>
      <w:r w:rsidRPr="00DC12FA">
        <w:rPr>
          <w:rFonts w:ascii="Arial" w:hAnsi="Arial" w:cs="Arial"/>
          <w:sz w:val="22"/>
          <w:szCs w:val="22"/>
        </w:rPr>
        <w:t xml:space="preserve">across Devon. </w:t>
      </w:r>
      <w:r>
        <w:rPr>
          <w:rFonts w:ascii="Arial" w:hAnsi="Arial" w:cs="Arial"/>
          <w:sz w:val="22"/>
          <w:szCs w:val="22"/>
        </w:rPr>
        <w:t>T</w:t>
      </w:r>
      <w:r w:rsidRPr="00DC12FA">
        <w:rPr>
          <w:rFonts w:ascii="Arial" w:hAnsi="Arial" w:cs="Arial"/>
          <w:sz w:val="22"/>
          <w:szCs w:val="22"/>
        </w:rPr>
        <w:t>his makes us one of the</w:t>
      </w:r>
      <w:r>
        <w:rPr>
          <w:rFonts w:ascii="Arial" w:hAnsi="Arial" w:cs="Arial"/>
          <w:sz w:val="22"/>
          <w:szCs w:val="22"/>
        </w:rPr>
        <w:t xml:space="preserve"> </w:t>
      </w:r>
      <w:r w:rsidRPr="00DC12FA">
        <w:rPr>
          <w:rFonts w:ascii="Arial" w:hAnsi="Arial" w:cs="Arial"/>
          <w:sz w:val="22"/>
          <w:szCs w:val="22"/>
        </w:rPr>
        <w:t>largest providers of integrated health</w:t>
      </w:r>
      <w:r>
        <w:rPr>
          <w:rFonts w:ascii="Arial" w:hAnsi="Arial" w:cs="Arial"/>
          <w:sz w:val="22"/>
          <w:szCs w:val="22"/>
        </w:rPr>
        <w:t xml:space="preserve"> </w:t>
      </w:r>
      <w:r w:rsidRPr="00DC12FA">
        <w:rPr>
          <w:rFonts w:ascii="Arial" w:hAnsi="Arial" w:cs="Arial"/>
          <w:sz w:val="22"/>
          <w:szCs w:val="22"/>
        </w:rPr>
        <w:t>care in the UK, and the biggest employer</w:t>
      </w:r>
      <w:r>
        <w:rPr>
          <w:rFonts w:ascii="Arial" w:hAnsi="Arial" w:cs="Arial"/>
          <w:sz w:val="22"/>
          <w:szCs w:val="22"/>
        </w:rPr>
        <w:t xml:space="preserve"> </w:t>
      </w:r>
      <w:r w:rsidRPr="00DC12FA">
        <w:rPr>
          <w:rFonts w:ascii="Arial" w:hAnsi="Arial" w:cs="Arial"/>
          <w:sz w:val="22"/>
          <w:szCs w:val="22"/>
        </w:rPr>
        <w:t>in Devon with a workforce of over</w:t>
      </w:r>
      <w:r>
        <w:rPr>
          <w:rFonts w:ascii="Arial" w:hAnsi="Arial" w:cs="Arial"/>
          <w:sz w:val="22"/>
          <w:szCs w:val="22"/>
        </w:rPr>
        <w:t xml:space="preserve"> </w:t>
      </w:r>
      <w:r w:rsidRPr="00DC12FA">
        <w:rPr>
          <w:rFonts w:ascii="Arial" w:hAnsi="Arial" w:cs="Arial"/>
          <w:sz w:val="22"/>
          <w:szCs w:val="22"/>
        </w:rPr>
        <w:t>15,000 staff.</w:t>
      </w:r>
    </w:p>
    <w:p w:rsidR="00EE50E0" w:rsidRDefault="00EE50E0"/>
    <w:p w:rsidR="00F639E1" w:rsidRPr="00DC12FA" w:rsidRDefault="00F639E1" w:rsidP="00F639E1">
      <w:pPr>
        <w:jc w:val="both"/>
        <w:rPr>
          <w:rFonts w:ascii="Arial" w:hAnsi="Arial" w:cs="Arial"/>
          <w:sz w:val="22"/>
          <w:szCs w:val="22"/>
        </w:rPr>
      </w:pPr>
      <w:r w:rsidRPr="00DC12FA">
        <w:rPr>
          <w:rFonts w:ascii="Arial" w:hAnsi="Arial" w:cs="Arial"/>
          <w:sz w:val="22"/>
          <w:szCs w:val="22"/>
        </w:rPr>
        <w:t>Our services include two acute hospitals,</w:t>
      </w:r>
      <w:r>
        <w:rPr>
          <w:rFonts w:ascii="Arial" w:hAnsi="Arial" w:cs="Arial"/>
          <w:sz w:val="22"/>
          <w:szCs w:val="22"/>
        </w:rPr>
        <w:t xml:space="preserve"> seventeen</w:t>
      </w:r>
      <w:r w:rsidRPr="00DC12FA">
        <w:rPr>
          <w:rFonts w:ascii="Arial" w:hAnsi="Arial" w:cs="Arial"/>
          <w:sz w:val="22"/>
          <w:szCs w:val="22"/>
        </w:rPr>
        <w:t xml:space="preserve"> community hospitals, outpatient clinics,</w:t>
      </w:r>
      <w:r>
        <w:rPr>
          <w:rFonts w:ascii="Arial" w:hAnsi="Arial" w:cs="Arial"/>
          <w:sz w:val="22"/>
          <w:szCs w:val="22"/>
        </w:rPr>
        <w:t xml:space="preserve"> a</w:t>
      </w:r>
      <w:r w:rsidRPr="00DC12FA">
        <w:rPr>
          <w:rFonts w:ascii="Arial" w:hAnsi="Arial" w:cs="Arial"/>
          <w:sz w:val="22"/>
          <w:szCs w:val="22"/>
        </w:rPr>
        <w:t>nd community teams who care for people</w:t>
      </w:r>
      <w:r>
        <w:rPr>
          <w:rFonts w:ascii="Arial" w:hAnsi="Arial" w:cs="Arial"/>
          <w:sz w:val="22"/>
          <w:szCs w:val="22"/>
        </w:rPr>
        <w:t xml:space="preserve"> </w:t>
      </w:r>
      <w:r w:rsidRPr="00DC12FA">
        <w:rPr>
          <w:rFonts w:ascii="Arial" w:hAnsi="Arial" w:cs="Arial"/>
          <w:sz w:val="22"/>
          <w:szCs w:val="22"/>
        </w:rPr>
        <w:t>within their own homes. We also provide</w:t>
      </w:r>
      <w:r>
        <w:rPr>
          <w:rFonts w:ascii="Arial" w:hAnsi="Arial" w:cs="Arial"/>
          <w:sz w:val="22"/>
          <w:szCs w:val="22"/>
        </w:rPr>
        <w:t xml:space="preserve"> </w:t>
      </w:r>
      <w:r w:rsidRPr="00DC12FA">
        <w:rPr>
          <w:rFonts w:ascii="Arial" w:hAnsi="Arial" w:cs="Arial"/>
          <w:sz w:val="22"/>
          <w:szCs w:val="22"/>
        </w:rPr>
        <w:t>primary care and a range of specialist</w:t>
      </w:r>
      <w:r>
        <w:rPr>
          <w:rFonts w:ascii="Arial" w:hAnsi="Arial" w:cs="Arial"/>
          <w:sz w:val="22"/>
          <w:szCs w:val="22"/>
        </w:rPr>
        <w:t xml:space="preserve"> </w:t>
      </w:r>
      <w:r w:rsidRPr="00DC12FA">
        <w:rPr>
          <w:rFonts w:ascii="Arial" w:hAnsi="Arial" w:cs="Arial"/>
          <w:sz w:val="22"/>
          <w:szCs w:val="22"/>
        </w:rPr>
        <w:t>services, stretching from coastline to</w:t>
      </w:r>
      <w:r>
        <w:rPr>
          <w:rFonts w:ascii="Arial" w:hAnsi="Arial" w:cs="Arial"/>
          <w:sz w:val="22"/>
          <w:szCs w:val="22"/>
        </w:rPr>
        <w:t xml:space="preserve"> </w:t>
      </w:r>
      <w:r w:rsidRPr="00DC12FA">
        <w:rPr>
          <w:rFonts w:ascii="Arial" w:hAnsi="Arial" w:cs="Arial"/>
          <w:sz w:val="22"/>
          <w:szCs w:val="22"/>
        </w:rPr>
        <w:t>coastline, extending our reach throughout</w:t>
      </w:r>
      <w:r>
        <w:rPr>
          <w:rFonts w:ascii="Arial" w:hAnsi="Arial" w:cs="Arial"/>
          <w:sz w:val="22"/>
          <w:szCs w:val="22"/>
        </w:rPr>
        <w:t xml:space="preserve"> </w:t>
      </w:r>
      <w:r w:rsidRPr="00DC12FA">
        <w:rPr>
          <w:rFonts w:ascii="Arial" w:hAnsi="Arial" w:cs="Arial"/>
          <w:sz w:val="22"/>
          <w:szCs w:val="22"/>
        </w:rPr>
        <w:t>the South West Peninsula as far as Cornwall</w:t>
      </w:r>
      <w:r>
        <w:rPr>
          <w:rFonts w:ascii="Arial" w:hAnsi="Arial" w:cs="Arial"/>
          <w:sz w:val="22"/>
          <w:szCs w:val="22"/>
        </w:rPr>
        <w:t xml:space="preserve"> </w:t>
      </w:r>
      <w:r w:rsidRPr="00DC12FA">
        <w:rPr>
          <w:rFonts w:ascii="Arial" w:hAnsi="Arial" w:cs="Arial"/>
          <w:sz w:val="22"/>
          <w:szCs w:val="22"/>
        </w:rPr>
        <w:t>and the Isles of Scilly.</w:t>
      </w:r>
    </w:p>
    <w:p w:rsidR="00F639E1" w:rsidRDefault="00F639E1"/>
    <w:p w:rsidR="00F639E1" w:rsidRPr="00DC12FA" w:rsidRDefault="00F639E1" w:rsidP="00F639E1">
      <w:pPr>
        <w:jc w:val="both"/>
        <w:rPr>
          <w:rFonts w:ascii="Arial" w:hAnsi="Arial" w:cs="Arial"/>
          <w:sz w:val="22"/>
          <w:szCs w:val="22"/>
        </w:rPr>
      </w:pPr>
      <w:r w:rsidRPr="00DC12FA">
        <w:rPr>
          <w:rFonts w:ascii="Arial" w:hAnsi="Arial" w:cs="Arial"/>
          <w:sz w:val="22"/>
          <w:szCs w:val="22"/>
        </w:rPr>
        <w:t>Established in April 2022, the Royal Devon</w:t>
      </w:r>
      <w:r>
        <w:rPr>
          <w:rFonts w:ascii="Arial" w:hAnsi="Arial" w:cs="Arial"/>
          <w:sz w:val="22"/>
          <w:szCs w:val="22"/>
        </w:rPr>
        <w:t xml:space="preserve"> </w:t>
      </w:r>
      <w:r w:rsidRPr="00DC12FA">
        <w:rPr>
          <w:rFonts w:ascii="Arial" w:hAnsi="Arial" w:cs="Arial"/>
          <w:sz w:val="22"/>
          <w:szCs w:val="22"/>
        </w:rPr>
        <w:t>brings together the expertise of Northern</w:t>
      </w:r>
      <w:r>
        <w:rPr>
          <w:rFonts w:ascii="Arial" w:hAnsi="Arial" w:cs="Arial"/>
          <w:sz w:val="22"/>
          <w:szCs w:val="22"/>
        </w:rPr>
        <w:t xml:space="preserve"> </w:t>
      </w:r>
      <w:r w:rsidRPr="00DC12FA">
        <w:rPr>
          <w:rFonts w:ascii="Arial" w:hAnsi="Arial" w:cs="Arial"/>
          <w:sz w:val="22"/>
          <w:szCs w:val="22"/>
        </w:rPr>
        <w:t>Devon Healthcare NHS Trust and the Royal</w:t>
      </w:r>
      <w:r>
        <w:rPr>
          <w:rFonts w:ascii="Arial" w:hAnsi="Arial" w:cs="Arial"/>
          <w:sz w:val="22"/>
          <w:szCs w:val="22"/>
        </w:rPr>
        <w:t xml:space="preserve"> </w:t>
      </w:r>
      <w:r w:rsidRPr="00DC12FA">
        <w:rPr>
          <w:rFonts w:ascii="Arial" w:hAnsi="Arial" w:cs="Arial"/>
          <w:sz w:val="22"/>
          <w:szCs w:val="22"/>
        </w:rPr>
        <w:t>Devon and Exeter NHS Foundation Trust,</w:t>
      </w:r>
      <w:r>
        <w:rPr>
          <w:rFonts w:ascii="Arial" w:hAnsi="Arial" w:cs="Arial"/>
          <w:sz w:val="22"/>
          <w:szCs w:val="22"/>
        </w:rPr>
        <w:t xml:space="preserve"> </w:t>
      </w:r>
      <w:r w:rsidRPr="00DC12FA">
        <w:rPr>
          <w:rFonts w:ascii="Arial" w:hAnsi="Arial" w:cs="Arial"/>
          <w:sz w:val="22"/>
          <w:szCs w:val="22"/>
        </w:rPr>
        <w:t>embracing change and innovation to</w:t>
      </w:r>
      <w:r>
        <w:rPr>
          <w:rFonts w:ascii="Arial" w:hAnsi="Arial" w:cs="Arial"/>
          <w:sz w:val="22"/>
          <w:szCs w:val="22"/>
        </w:rPr>
        <w:t xml:space="preserve"> </w:t>
      </w:r>
      <w:r w:rsidRPr="00DC12FA">
        <w:rPr>
          <w:rFonts w:ascii="Arial" w:hAnsi="Arial" w:cs="Arial"/>
          <w:sz w:val="22"/>
          <w:szCs w:val="22"/>
        </w:rPr>
        <w:t>develop new medical models, new ways</w:t>
      </w:r>
      <w:r>
        <w:rPr>
          <w:rFonts w:ascii="Arial" w:hAnsi="Arial" w:cs="Arial"/>
          <w:sz w:val="22"/>
          <w:szCs w:val="22"/>
        </w:rPr>
        <w:t xml:space="preserve"> </w:t>
      </w:r>
      <w:r w:rsidRPr="00DC12FA">
        <w:rPr>
          <w:rFonts w:ascii="Arial" w:hAnsi="Arial" w:cs="Arial"/>
          <w:sz w:val="22"/>
          <w:szCs w:val="22"/>
        </w:rPr>
        <w:t>of working, ground-breaking research</w:t>
      </w:r>
      <w:r>
        <w:rPr>
          <w:rFonts w:ascii="Arial" w:hAnsi="Arial" w:cs="Arial"/>
          <w:sz w:val="22"/>
          <w:szCs w:val="22"/>
        </w:rPr>
        <w:t xml:space="preserve"> </w:t>
      </w:r>
      <w:r w:rsidRPr="00DC12FA">
        <w:rPr>
          <w:rFonts w:ascii="Arial" w:hAnsi="Arial" w:cs="Arial"/>
          <w:sz w:val="22"/>
          <w:szCs w:val="22"/>
        </w:rPr>
        <w:t>and huge levels of investment into new</w:t>
      </w:r>
      <w:r>
        <w:rPr>
          <w:rFonts w:ascii="Arial" w:hAnsi="Arial" w:cs="Arial"/>
          <w:sz w:val="22"/>
          <w:szCs w:val="22"/>
        </w:rPr>
        <w:t xml:space="preserve"> </w:t>
      </w:r>
      <w:r w:rsidRPr="00DC12FA">
        <w:rPr>
          <w:rFonts w:ascii="Arial" w:hAnsi="Arial" w:cs="Arial"/>
          <w:sz w:val="22"/>
          <w:szCs w:val="22"/>
        </w:rPr>
        <w:t>infrastructure, equipment and facilities.</w:t>
      </w:r>
      <w:r>
        <w:rPr>
          <w:rFonts w:ascii="Arial" w:hAnsi="Arial" w:cs="Arial"/>
          <w:sz w:val="22"/>
          <w:szCs w:val="22"/>
        </w:rPr>
        <w:t xml:space="preserve"> </w:t>
      </w:r>
      <w:r w:rsidRPr="00DC12FA">
        <w:rPr>
          <w:rFonts w:ascii="Arial" w:hAnsi="Arial" w:cs="Arial"/>
          <w:sz w:val="22"/>
          <w:szCs w:val="22"/>
        </w:rPr>
        <w:t>There has never been a better time to</w:t>
      </w:r>
      <w:r>
        <w:rPr>
          <w:rFonts w:ascii="Arial" w:hAnsi="Arial" w:cs="Arial"/>
          <w:sz w:val="22"/>
          <w:szCs w:val="22"/>
        </w:rPr>
        <w:t xml:space="preserve"> </w:t>
      </w:r>
      <w:r w:rsidRPr="00DC12FA">
        <w:rPr>
          <w:rFonts w:ascii="Arial" w:hAnsi="Arial" w:cs="Arial"/>
          <w:sz w:val="22"/>
          <w:szCs w:val="22"/>
        </w:rPr>
        <w:t>join us.</w:t>
      </w:r>
    </w:p>
    <w:p w:rsidR="00F639E1" w:rsidRDefault="00F639E1"/>
    <w:p w:rsidR="00F639E1" w:rsidRPr="00DC12FA" w:rsidRDefault="00F639E1" w:rsidP="00F639E1">
      <w:pPr>
        <w:jc w:val="both"/>
        <w:rPr>
          <w:rFonts w:ascii="Arial" w:hAnsi="Arial" w:cs="Arial"/>
          <w:sz w:val="22"/>
          <w:szCs w:val="22"/>
        </w:rPr>
      </w:pPr>
      <w:r w:rsidRPr="00DC12FA">
        <w:rPr>
          <w:rFonts w:ascii="Arial" w:hAnsi="Arial" w:cs="Arial"/>
          <w:sz w:val="22"/>
          <w:szCs w:val="22"/>
        </w:rPr>
        <w:t>The Royal Devon is committed to support</w:t>
      </w:r>
      <w:r>
        <w:rPr>
          <w:rFonts w:ascii="Arial" w:hAnsi="Arial" w:cs="Arial"/>
          <w:sz w:val="22"/>
          <w:szCs w:val="22"/>
        </w:rPr>
        <w:t xml:space="preserve"> </w:t>
      </w:r>
      <w:r w:rsidRPr="00DC12FA">
        <w:rPr>
          <w:rFonts w:ascii="Arial" w:hAnsi="Arial" w:cs="Arial"/>
          <w:sz w:val="22"/>
          <w:szCs w:val="22"/>
        </w:rPr>
        <w:t>the personal and professional development</w:t>
      </w:r>
      <w:r>
        <w:rPr>
          <w:rFonts w:ascii="Arial" w:hAnsi="Arial" w:cs="Arial"/>
          <w:sz w:val="22"/>
          <w:szCs w:val="22"/>
        </w:rPr>
        <w:t xml:space="preserve"> </w:t>
      </w:r>
      <w:r w:rsidRPr="00DC12FA">
        <w:rPr>
          <w:rFonts w:ascii="Arial" w:hAnsi="Arial" w:cs="Arial"/>
          <w:sz w:val="22"/>
          <w:szCs w:val="22"/>
        </w:rPr>
        <w:t xml:space="preserve">of our </w:t>
      </w:r>
      <w:r>
        <w:rPr>
          <w:rFonts w:ascii="Arial" w:hAnsi="Arial" w:cs="Arial"/>
          <w:sz w:val="22"/>
          <w:szCs w:val="22"/>
        </w:rPr>
        <w:t xml:space="preserve">medical </w:t>
      </w:r>
      <w:r w:rsidRPr="00DC12FA">
        <w:rPr>
          <w:rFonts w:ascii="Arial" w:hAnsi="Arial" w:cs="Arial"/>
          <w:sz w:val="22"/>
          <w:szCs w:val="22"/>
        </w:rPr>
        <w:t>staff and in turn improve</w:t>
      </w:r>
      <w:r>
        <w:rPr>
          <w:rFonts w:ascii="Arial" w:hAnsi="Arial" w:cs="Arial"/>
          <w:sz w:val="22"/>
          <w:szCs w:val="22"/>
        </w:rPr>
        <w:t xml:space="preserve"> </w:t>
      </w:r>
      <w:r w:rsidRPr="00DC12FA">
        <w:rPr>
          <w:rFonts w:ascii="Arial" w:hAnsi="Arial" w:cs="Arial"/>
          <w:sz w:val="22"/>
          <w:szCs w:val="22"/>
        </w:rPr>
        <w:t>the care offered to our patients. This</w:t>
      </w:r>
      <w:r>
        <w:rPr>
          <w:rFonts w:ascii="Arial" w:hAnsi="Arial" w:cs="Arial"/>
          <w:sz w:val="22"/>
          <w:szCs w:val="22"/>
        </w:rPr>
        <w:t xml:space="preserve"> </w:t>
      </w:r>
      <w:r w:rsidRPr="00DC12FA">
        <w:rPr>
          <w:rFonts w:ascii="Arial" w:hAnsi="Arial" w:cs="Arial"/>
          <w:sz w:val="22"/>
          <w:szCs w:val="22"/>
        </w:rPr>
        <w:t>might include developing or introducing</w:t>
      </w:r>
      <w:r>
        <w:rPr>
          <w:rFonts w:ascii="Arial" w:hAnsi="Arial" w:cs="Arial"/>
          <w:sz w:val="22"/>
          <w:szCs w:val="22"/>
        </w:rPr>
        <w:t xml:space="preserve"> </w:t>
      </w:r>
      <w:r w:rsidRPr="00DC12FA">
        <w:rPr>
          <w:rFonts w:ascii="Arial" w:hAnsi="Arial" w:cs="Arial"/>
          <w:sz w:val="22"/>
          <w:szCs w:val="22"/>
        </w:rPr>
        <w:t>innovative services and bringing these</w:t>
      </w:r>
      <w:r>
        <w:rPr>
          <w:rFonts w:ascii="Arial" w:hAnsi="Arial" w:cs="Arial"/>
          <w:sz w:val="22"/>
          <w:szCs w:val="22"/>
        </w:rPr>
        <w:t xml:space="preserve"> </w:t>
      </w:r>
      <w:r w:rsidRPr="00DC12FA">
        <w:rPr>
          <w:rFonts w:ascii="Arial" w:hAnsi="Arial" w:cs="Arial"/>
          <w:sz w:val="22"/>
          <w:szCs w:val="22"/>
        </w:rPr>
        <w:t>to rural patients, teaching the doctors</w:t>
      </w:r>
      <w:r>
        <w:rPr>
          <w:rFonts w:ascii="Arial" w:hAnsi="Arial" w:cs="Arial"/>
          <w:sz w:val="22"/>
          <w:szCs w:val="22"/>
        </w:rPr>
        <w:t xml:space="preserve"> </w:t>
      </w:r>
      <w:r w:rsidRPr="00DC12FA">
        <w:rPr>
          <w:rFonts w:ascii="Arial" w:hAnsi="Arial" w:cs="Arial"/>
          <w:sz w:val="22"/>
          <w:szCs w:val="22"/>
        </w:rPr>
        <w:t>of tomorrow or undertaking award</w:t>
      </w:r>
      <w:r>
        <w:rPr>
          <w:rFonts w:ascii="Arial" w:hAnsi="Arial" w:cs="Arial"/>
          <w:sz w:val="22"/>
          <w:szCs w:val="22"/>
        </w:rPr>
        <w:t xml:space="preserve"> </w:t>
      </w:r>
      <w:r w:rsidRPr="00DC12FA">
        <w:rPr>
          <w:rFonts w:ascii="Arial" w:hAnsi="Arial" w:cs="Arial"/>
          <w:sz w:val="22"/>
          <w:szCs w:val="22"/>
        </w:rPr>
        <w:t>winning clinical research. In 2021 our</w:t>
      </w:r>
      <w:r>
        <w:rPr>
          <w:rFonts w:ascii="Arial" w:hAnsi="Arial" w:cs="Arial"/>
          <w:sz w:val="22"/>
          <w:szCs w:val="22"/>
        </w:rPr>
        <w:t xml:space="preserve"> </w:t>
      </w:r>
      <w:r w:rsidRPr="00DC12FA">
        <w:rPr>
          <w:rFonts w:ascii="Arial" w:hAnsi="Arial" w:cs="Arial"/>
          <w:sz w:val="22"/>
          <w:szCs w:val="22"/>
        </w:rPr>
        <w:t>specialist nurses were recognised in the</w:t>
      </w:r>
      <w:r>
        <w:rPr>
          <w:rFonts w:ascii="Arial" w:hAnsi="Arial" w:cs="Arial"/>
          <w:sz w:val="22"/>
          <w:szCs w:val="22"/>
        </w:rPr>
        <w:t xml:space="preserve"> </w:t>
      </w:r>
      <w:r w:rsidRPr="00DC12FA">
        <w:rPr>
          <w:rFonts w:ascii="Arial" w:hAnsi="Arial" w:cs="Arial"/>
          <w:sz w:val="22"/>
          <w:szCs w:val="22"/>
        </w:rPr>
        <w:t>British Journal of Nursing Awards for their</w:t>
      </w:r>
      <w:r>
        <w:rPr>
          <w:rFonts w:ascii="Arial" w:hAnsi="Arial" w:cs="Arial"/>
          <w:sz w:val="22"/>
          <w:szCs w:val="22"/>
        </w:rPr>
        <w:t xml:space="preserve"> </w:t>
      </w:r>
      <w:r w:rsidRPr="00DC12FA">
        <w:rPr>
          <w:rFonts w:ascii="Arial" w:hAnsi="Arial" w:cs="Arial"/>
          <w:sz w:val="22"/>
          <w:szCs w:val="22"/>
        </w:rPr>
        <w:t>innovations during the COVID pandemic</w:t>
      </w:r>
      <w:r>
        <w:rPr>
          <w:rFonts w:ascii="Arial" w:hAnsi="Arial" w:cs="Arial"/>
          <w:sz w:val="22"/>
          <w:szCs w:val="22"/>
        </w:rPr>
        <w:t xml:space="preserve"> </w:t>
      </w:r>
      <w:r w:rsidRPr="00DC12FA">
        <w:rPr>
          <w:rFonts w:ascii="Arial" w:hAnsi="Arial" w:cs="Arial"/>
          <w:sz w:val="22"/>
          <w:szCs w:val="22"/>
        </w:rPr>
        <w:t xml:space="preserve">and the Inflammatory </w:t>
      </w:r>
      <w:r>
        <w:rPr>
          <w:rFonts w:ascii="Arial" w:hAnsi="Arial" w:cs="Arial"/>
          <w:sz w:val="22"/>
          <w:szCs w:val="22"/>
        </w:rPr>
        <w:t>B</w:t>
      </w:r>
      <w:r w:rsidRPr="00DC12FA">
        <w:rPr>
          <w:rFonts w:ascii="Arial" w:hAnsi="Arial" w:cs="Arial"/>
          <w:sz w:val="22"/>
          <w:szCs w:val="22"/>
        </w:rPr>
        <w:t xml:space="preserve">owel </w:t>
      </w:r>
      <w:r>
        <w:rPr>
          <w:rFonts w:ascii="Arial" w:hAnsi="Arial" w:cs="Arial"/>
          <w:sz w:val="22"/>
          <w:szCs w:val="22"/>
        </w:rPr>
        <w:t>D</w:t>
      </w:r>
      <w:r w:rsidRPr="00DC12FA">
        <w:rPr>
          <w:rFonts w:ascii="Arial" w:hAnsi="Arial" w:cs="Arial"/>
          <w:sz w:val="22"/>
          <w:szCs w:val="22"/>
        </w:rPr>
        <w:t>isease</w:t>
      </w:r>
      <w:r>
        <w:rPr>
          <w:rFonts w:ascii="Arial" w:hAnsi="Arial" w:cs="Arial"/>
          <w:sz w:val="22"/>
          <w:szCs w:val="22"/>
        </w:rPr>
        <w:t xml:space="preserve"> R</w:t>
      </w:r>
      <w:r w:rsidRPr="00DC12FA">
        <w:rPr>
          <w:rFonts w:ascii="Arial" w:hAnsi="Arial" w:cs="Arial"/>
          <w:sz w:val="22"/>
          <w:szCs w:val="22"/>
        </w:rPr>
        <w:t xml:space="preserve">esearch </w:t>
      </w:r>
      <w:r>
        <w:rPr>
          <w:rFonts w:ascii="Arial" w:hAnsi="Arial" w:cs="Arial"/>
          <w:sz w:val="22"/>
          <w:szCs w:val="22"/>
        </w:rPr>
        <w:t>T</w:t>
      </w:r>
      <w:r w:rsidRPr="00DC12FA">
        <w:rPr>
          <w:rFonts w:ascii="Arial" w:hAnsi="Arial" w:cs="Arial"/>
          <w:sz w:val="22"/>
          <w:szCs w:val="22"/>
        </w:rPr>
        <w:t>eam was recognised with the</w:t>
      </w:r>
      <w:r>
        <w:rPr>
          <w:rFonts w:ascii="Arial" w:hAnsi="Arial" w:cs="Arial"/>
          <w:sz w:val="22"/>
          <w:szCs w:val="22"/>
        </w:rPr>
        <w:t xml:space="preserve"> N</w:t>
      </w:r>
      <w:r w:rsidRPr="00DC12FA">
        <w:rPr>
          <w:rFonts w:ascii="Arial" w:hAnsi="Arial" w:cs="Arial"/>
          <w:sz w:val="22"/>
          <w:szCs w:val="22"/>
        </w:rPr>
        <w:t xml:space="preserve">ational </w:t>
      </w:r>
      <w:r>
        <w:rPr>
          <w:rFonts w:ascii="Arial" w:hAnsi="Arial" w:cs="Arial"/>
          <w:sz w:val="22"/>
          <w:szCs w:val="22"/>
        </w:rPr>
        <w:t>T</w:t>
      </w:r>
      <w:r w:rsidRPr="00DC12FA">
        <w:rPr>
          <w:rFonts w:ascii="Arial" w:hAnsi="Arial" w:cs="Arial"/>
          <w:sz w:val="22"/>
          <w:szCs w:val="22"/>
        </w:rPr>
        <w:t xml:space="preserve">eam </w:t>
      </w:r>
      <w:r>
        <w:rPr>
          <w:rFonts w:ascii="Arial" w:hAnsi="Arial" w:cs="Arial"/>
          <w:sz w:val="22"/>
          <w:szCs w:val="22"/>
        </w:rPr>
        <w:t>A</w:t>
      </w:r>
      <w:r w:rsidRPr="00DC12FA">
        <w:rPr>
          <w:rFonts w:ascii="Arial" w:hAnsi="Arial" w:cs="Arial"/>
          <w:sz w:val="22"/>
          <w:szCs w:val="22"/>
        </w:rPr>
        <w:t>ward for their contribution</w:t>
      </w:r>
      <w:r>
        <w:rPr>
          <w:rFonts w:ascii="Arial" w:hAnsi="Arial" w:cs="Arial"/>
          <w:sz w:val="22"/>
          <w:szCs w:val="22"/>
        </w:rPr>
        <w:t xml:space="preserve"> </w:t>
      </w:r>
      <w:r w:rsidRPr="00DC12FA">
        <w:rPr>
          <w:rFonts w:ascii="Arial" w:hAnsi="Arial" w:cs="Arial"/>
          <w:sz w:val="22"/>
          <w:szCs w:val="22"/>
        </w:rPr>
        <w:t>to the NIHR portfolio.</w:t>
      </w:r>
    </w:p>
    <w:p w:rsidR="00F639E1" w:rsidRDefault="00F639E1"/>
    <w:p w:rsidR="00F639E1" w:rsidRDefault="00F639E1" w:rsidP="00F639E1">
      <w:pPr>
        <w:jc w:val="both"/>
        <w:rPr>
          <w:rFonts w:ascii="Arial" w:hAnsi="Arial" w:cs="Arial"/>
          <w:sz w:val="22"/>
          <w:szCs w:val="22"/>
        </w:rPr>
      </w:pPr>
      <w:r w:rsidRPr="00DC12FA">
        <w:rPr>
          <w:rFonts w:ascii="Arial" w:hAnsi="Arial" w:cs="Arial"/>
          <w:sz w:val="22"/>
          <w:szCs w:val="22"/>
        </w:rPr>
        <w:t>You’ll find more information about the</w:t>
      </w:r>
      <w:r>
        <w:rPr>
          <w:rFonts w:ascii="Arial" w:hAnsi="Arial" w:cs="Arial"/>
          <w:sz w:val="22"/>
          <w:szCs w:val="22"/>
        </w:rPr>
        <w:t xml:space="preserve"> </w:t>
      </w:r>
      <w:r w:rsidRPr="00DC12FA">
        <w:rPr>
          <w:rFonts w:ascii="Arial" w:hAnsi="Arial" w:cs="Arial"/>
          <w:sz w:val="22"/>
          <w:szCs w:val="22"/>
        </w:rPr>
        <w:t>role and the Trust in this pack. Further</w:t>
      </w:r>
      <w:r>
        <w:rPr>
          <w:rFonts w:ascii="Arial" w:hAnsi="Arial" w:cs="Arial"/>
          <w:sz w:val="22"/>
          <w:szCs w:val="22"/>
        </w:rPr>
        <w:t xml:space="preserve"> </w:t>
      </w:r>
      <w:r w:rsidRPr="00DC12FA">
        <w:rPr>
          <w:rFonts w:ascii="Arial" w:hAnsi="Arial" w:cs="Arial"/>
          <w:sz w:val="22"/>
          <w:szCs w:val="22"/>
        </w:rPr>
        <w:t>information is available on our</w:t>
      </w:r>
      <w:r>
        <w:rPr>
          <w:rFonts w:ascii="Arial" w:hAnsi="Arial" w:cs="Arial"/>
          <w:sz w:val="22"/>
          <w:szCs w:val="22"/>
        </w:rPr>
        <w:t xml:space="preserve"> </w:t>
      </w:r>
      <w:r w:rsidRPr="00DC12FA">
        <w:rPr>
          <w:rFonts w:ascii="Arial" w:hAnsi="Arial" w:cs="Arial"/>
          <w:sz w:val="22"/>
          <w:szCs w:val="22"/>
        </w:rPr>
        <w:t xml:space="preserve">website </w:t>
      </w:r>
      <w:hyperlink r:id="rId4" w:history="1">
        <w:r w:rsidRPr="00BF37A4">
          <w:rPr>
            <w:rStyle w:val="Hyperlink"/>
            <w:rFonts w:ascii="Arial" w:hAnsi="Arial" w:cs="Arial"/>
            <w:sz w:val="22"/>
            <w:szCs w:val="22"/>
          </w:rPr>
          <w:t>www.royaldevon.nhs.uk</w:t>
        </w:r>
      </w:hyperlink>
      <w:r>
        <w:rPr>
          <w:rFonts w:ascii="Arial" w:hAnsi="Arial" w:cs="Arial"/>
          <w:sz w:val="22"/>
          <w:szCs w:val="22"/>
        </w:rPr>
        <w:t xml:space="preserve"> </w:t>
      </w:r>
    </w:p>
    <w:p w:rsidR="00F639E1" w:rsidRDefault="00F639E1" w:rsidP="00F639E1">
      <w:pPr>
        <w:jc w:val="both"/>
        <w:rPr>
          <w:rFonts w:ascii="Arial" w:hAnsi="Arial" w:cs="Arial"/>
          <w:sz w:val="22"/>
          <w:szCs w:val="22"/>
        </w:rPr>
      </w:pPr>
    </w:p>
    <w:p w:rsidR="00F639E1" w:rsidRDefault="00F639E1" w:rsidP="00F639E1">
      <w:pPr>
        <w:jc w:val="both"/>
        <w:rPr>
          <w:rFonts w:ascii="Arial" w:hAnsi="Arial" w:cs="Arial"/>
          <w:sz w:val="22"/>
          <w:szCs w:val="22"/>
        </w:rPr>
      </w:pPr>
    </w:p>
    <w:p w:rsidR="00F639E1" w:rsidRPr="00F639E1" w:rsidRDefault="00F639E1" w:rsidP="00F639E1">
      <w:pPr>
        <w:pStyle w:val="header2"/>
        <w:jc w:val="both"/>
        <w:rPr>
          <w:sz w:val="22"/>
          <w:szCs w:val="22"/>
        </w:rPr>
      </w:pPr>
      <w:r w:rsidRPr="00F639E1">
        <w:rPr>
          <w:sz w:val="22"/>
          <w:szCs w:val="22"/>
        </w:rPr>
        <w:t>Department of Gastroenterology and Hepatology</w:t>
      </w:r>
    </w:p>
    <w:p w:rsidR="00F639E1" w:rsidRPr="00F639E1" w:rsidRDefault="00F639E1">
      <w:pPr>
        <w:rPr>
          <w:rFonts w:ascii="Arial" w:hAnsi="Arial" w:cs="Arial"/>
        </w:rPr>
      </w:pPr>
    </w:p>
    <w:p w:rsidR="00F639E1" w:rsidRPr="00F639E1" w:rsidRDefault="00F639E1" w:rsidP="00F639E1">
      <w:pPr>
        <w:autoSpaceDE w:val="0"/>
        <w:autoSpaceDN w:val="0"/>
        <w:adjustRightInd w:val="0"/>
        <w:jc w:val="both"/>
        <w:rPr>
          <w:rFonts w:ascii="Arial" w:hAnsi="Arial" w:cs="Arial"/>
          <w:sz w:val="22"/>
          <w:szCs w:val="22"/>
          <w:lang w:eastAsia="en-GB"/>
        </w:rPr>
      </w:pPr>
      <w:r w:rsidRPr="00F639E1">
        <w:rPr>
          <w:rFonts w:ascii="Arial" w:hAnsi="Arial" w:cs="Arial"/>
          <w:sz w:val="22"/>
          <w:szCs w:val="22"/>
          <w:lang w:eastAsia="en-GB"/>
        </w:rPr>
        <w:t>The Royal Devon gastroenterology / hepatology team comprises 19.5 whole time equivalent (WTE) consultants with 14.5 WTE based in Exeter (2 posts recruiting now) and 5 based in Barnstable (3 posts recruiting now, 1 early 2024). The majority of consultants deliver at least some face-to-face care at both sites and all consultants will provide telephone or video consultations for patients across the entire catchment using a single EPR (EPIC). The department provides a comprehensive</w:t>
      </w:r>
      <w:r>
        <w:rPr>
          <w:rFonts w:ascii="Arial" w:hAnsi="Arial" w:cs="Arial"/>
          <w:sz w:val="22"/>
          <w:szCs w:val="22"/>
          <w:lang w:eastAsia="en-GB"/>
        </w:rPr>
        <w:t xml:space="preserve"> </w:t>
      </w:r>
      <w:r w:rsidRPr="00F639E1">
        <w:rPr>
          <w:rFonts w:ascii="Arial" w:hAnsi="Arial" w:cs="Arial"/>
          <w:sz w:val="22"/>
          <w:szCs w:val="22"/>
          <w:lang w:eastAsia="en-GB"/>
        </w:rPr>
        <w:t xml:space="preserve">gastroenterology and hepatology service for Devon. It serves a primary population of approximately 615,000 and provides specialist gastroenterology and hepatology services, including intestinal failure, specialist endoscopic services (including small intestinal endoscopy, colon capsule, Barrett’s </w:t>
      </w:r>
      <w:proofErr w:type="spellStart"/>
      <w:r w:rsidRPr="00F639E1">
        <w:rPr>
          <w:rFonts w:ascii="Arial" w:hAnsi="Arial" w:cs="Arial"/>
          <w:sz w:val="22"/>
          <w:szCs w:val="22"/>
          <w:lang w:eastAsia="en-GB"/>
        </w:rPr>
        <w:t>endotherapy</w:t>
      </w:r>
      <w:proofErr w:type="spellEnd"/>
      <w:r w:rsidRPr="00F639E1">
        <w:rPr>
          <w:rFonts w:ascii="Arial" w:hAnsi="Arial" w:cs="Arial"/>
          <w:sz w:val="22"/>
          <w:szCs w:val="22"/>
          <w:lang w:eastAsia="en-GB"/>
        </w:rPr>
        <w:t xml:space="preserve">, EUS, ERCP and </w:t>
      </w:r>
      <w:proofErr w:type="spellStart"/>
      <w:r w:rsidRPr="00F639E1">
        <w:rPr>
          <w:rFonts w:ascii="Arial" w:hAnsi="Arial" w:cs="Arial"/>
          <w:sz w:val="22"/>
          <w:szCs w:val="22"/>
          <w:lang w:eastAsia="en-GB"/>
        </w:rPr>
        <w:t>cholangioscopy</w:t>
      </w:r>
      <w:proofErr w:type="spellEnd"/>
      <w:r w:rsidRPr="00F639E1">
        <w:rPr>
          <w:rFonts w:ascii="Arial" w:hAnsi="Arial" w:cs="Arial"/>
          <w:sz w:val="22"/>
          <w:szCs w:val="22"/>
          <w:lang w:eastAsia="en-GB"/>
        </w:rPr>
        <w:t>) to a wider population across the South West Peninsula.</w:t>
      </w:r>
    </w:p>
    <w:p w:rsidR="00F639E1" w:rsidRDefault="00F639E1"/>
    <w:p w:rsidR="000537DB" w:rsidRDefault="000537DB" w:rsidP="006F33B5">
      <w:pPr>
        <w:jc w:val="both"/>
        <w:rPr>
          <w:rFonts w:ascii="Arial" w:hAnsi="Arial" w:cs="Arial"/>
          <w:sz w:val="22"/>
          <w:szCs w:val="22"/>
        </w:rPr>
      </w:pPr>
    </w:p>
    <w:p w:rsidR="000537DB" w:rsidRDefault="000537DB" w:rsidP="006F33B5">
      <w:pPr>
        <w:jc w:val="both"/>
        <w:rPr>
          <w:rFonts w:ascii="Arial" w:hAnsi="Arial" w:cs="Arial"/>
          <w:sz w:val="22"/>
          <w:szCs w:val="22"/>
        </w:rPr>
      </w:pPr>
    </w:p>
    <w:p w:rsidR="000537DB" w:rsidRPr="003F0B27" w:rsidRDefault="003F0B27" w:rsidP="006F33B5">
      <w:pPr>
        <w:jc w:val="both"/>
        <w:rPr>
          <w:rFonts w:ascii="Arial" w:hAnsi="Arial" w:cs="Arial"/>
          <w:b/>
          <w:sz w:val="22"/>
          <w:szCs w:val="22"/>
        </w:rPr>
      </w:pPr>
      <w:r w:rsidRPr="003F0B27">
        <w:rPr>
          <w:rFonts w:ascii="Arial" w:hAnsi="Arial" w:cs="Arial"/>
          <w:b/>
          <w:sz w:val="22"/>
          <w:szCs w:val="22"/>
        </w:rPr>
        <w:lastRenderedPageBreak/>
        <w:t>Exeter IBD consultant team</w:t>
      </w:r>
    </w:p>
    <w:p w:rsidR="003F0B27" w:rsidRDefault="003F0B27" w:rsidP="006F33B5">
      <w:pPr>
        <w:jc w:val="both"/>
        <w:rPr>
          <w:rFonts w:ascii="Arial" w:hAnsi="Arial" w:cs="Arial"/>
          <w:sz w:val="22"/>
          <w:szCs w:val="22"/>
        </w:rPr>
      </w:pPr>
    </w:p>
    <w:p w:rsidR="003F0B27" w:rsidRPr="003F0B27" w:rsidRDefault="003F0B27" w:rsidP="006F33B5">
      <w:pPr>
        <w:jc w:val="both"/>
        <w:rPr>
          <w:rFonts w:ascii="Arial" w:hAnsi="Arial" w:cs="Arial"/>
          <w:sz w:val="22"/>
          <w:szCs w:val="22"/>
        </w:rPr>
      </w:pPr>
      <w:r w:rsidRPr="003F0B27">
        <w:rPr>
          <w:rFonts w:ascii="Arial" w:hAnsi="Arial" w:cs="Arial"/>
          <w:b/>
          <w:bCs/>
          <w:sz w:val="22"/>
          <w:szCs w:val="22"/>
        </w:rPr>
        <w:t xml:space="preserve">Dr Tariq Ahmad </w:t>
      </w:r>
      <w:r w:rsidRPr="003F0B27">
        <w:rPr>
          <w:rFonts w:ascii="Arial" w:hAnsi="Arial" w:cs="Arial"/>
          <w:sz w:val="22"/>
          <w:szCs w:val="22"/>
        </w:rPr>
        <w:t>(Eastern services, 2007) is the current lead for IBD and heads the academic department of gastroenterology.</w:t>
      </w:r>
    </w:p>
    <w:p w:rsidR="003F0B27" w:rsidRPr="003F0B27" w:rsidRDefault="003F0B27" w:rsidP="006F33B5">
      <w:pPr>
        <w:jc w:val="both"/>
        <w:rPr>
          <w:rFonts w:ascii="Arial" w:hAnsi="Arial" w:cs="Arial"/>
          <w:sz w:val="22"/>
          <w:szCs w:val="22"/>
        </w:rPr>
      </w:pPr>
    </w:p>
    <w:p w:rsidR="003F0B27" w:rsidRPr="003F0B27" w:rsidRDefault="003F0B27" w:rsidP="006F33B5">
      <w:pPr>
        <w:jc w:val="both"/>
        <w:rPr>
          <w:rFonts w:ascii="Arial" w:hAnsi="Arial" w:cs="Arial"/>
          <w:sz w:val="22"/>
          <w:szCs w:val="22"/>
        </w:rPr>
      </w:pPr>
      <w:r w:rsidRPr="003F0B27">
        <w:rPr>
          <w:rFonts w:ascii="Arial" w:hAnsi="Arial" w:cs="Arial"/>
          <w:b/>
          <w:bCs/>
          <w:sz w:val="22"/>
          <w:szCs w:val="22"/>
        </w:rPr>
        <w:t xml:space="preserve">Dr James </w:t>
      </w:r>
      <w:proofErr w:type="spellStart"/>
      <w:r w:rsidRPr="003F0B27">
        <w:rPr>
          <w:rFonts w:ascii="Arial" w:hAnsi="Arial" w:cs="Arial"/>
          <w:b/>
          <w:bCs/>
          <w:sz w:val="22"/>
          <w:szCs w:val="22"/>
        </w:rPr>
        <w:t>Goodhand</w:t>
      </w:r>
      <w:proofErr w:type="spellEnd"/>
      <w:r w:rsidRPr="003F0B27">
        <w:rPr>
          <w:rFonts w:ascii="Arial" w:hAnsi="Arial" w:cs="Arial"/>
          <w:b/>
          <w:bCs/>
          <w:sz w:val="22"/>
          <w:szCs w:val="22"/>
        </w:rPr>
        <w:t xml:space="preserve"> </w:t>
      </w:r>
      <w:r w:rsidRPr="003F0B27">
        <w:rPr>
          <w:rFonts w:ascii="Arial" w:hAnsi="Arial" w:cs="Arial"/>
          <w:sz w:val="22"/>
          <w:szCs w:val="22"/>
        </w:rPr>
        <w:t>(Eastern services, 2015) is the departmental lead for audit/ morbidity and mortality. His interests include IBD and research</w:t>
      </w:r>
    </w:p>
    <w:p w:rsidR="003F0B27" w:rsidRPr="003F0B27" w:rsidRDefault="003F0B27" w:rsidP="006F33B5">
      <w:pPr>
        <w:jc w:val="both"/>
        <w:rPr>
          <w:rFonts w:ascii="Arial" w:hAnsi="Arial" w:cs="Arial"/>
          <w:sz w:val="22"/>
          <w:szCs w:val="22"/>
        </w:rPr>
      </w:pPr>
    </w:p>
    <w:p w:rsidR="003F0B27" w:rsidRPr="003F0B27" w:rsidRDefault="003F0B27" w:rsidP="006F33B5">
      <w:pPr>
        <w:jc w:val="both"/>
        <w:rPr>
          <w:rFonts w:ascii="Arial" w:hAnsi="Arial" w:cs="Arial"/>
          <w:sz w:val="22"/>
          <w:szCs w:val="22"/>
        </w:rPr>
      </w:pPr>
      <w:r w:rsidRPr="003F0B27">
        <w:rPr>
          <w:rFonts w:ascii="Arial" w:hAnsi="Arial" w:cs="Arial"/>
          <w:b/>
          <w:bCs/>
          <w:sz w:val="22"/>
          <w:szCs w:val="22"/>
        </w:rPr>
        <w:t xml:space="preserve">Dr Nick Kennedy </w:t>
      </w:r>
      <w:r w:rsidRPr="003F0B27">
        <w:rPr>
          <w:rFonts w:ascii="Arial" w:hAnsi="Arial" w:cs="Arial"/>
          <w:sz w:val="22"/>
          <w:szCs w:val="22"/>
        </w:rPr>
        <w:t>(Eastern services, 2016) has a part academic post with the University of Exeter. He is a Trust clinical information officer. He also has interests in IBD and research.</w:t>
      </w:r>
    </w:p>
    <w:p w:rsidR="003F0B27" w:rsidRPr="003F0B27" w:rsidRDefault="003F0B27" w:rsidP="006F33B5">
      <w:pPr>
        <w:jc w:val="both"/>
        <w:rPr>
          <w:rFonts w:ascii="Arial" w:hAnsi="Arial" w:cs="Arial"/>
          <w:sz w:val="22"/>
          <w:szCs w:val="22"/>
        </w:rPr>
      </w:pPr>
    </w:p>
    <w:p w:rsidR="003F0B27" w:rsidRPr="003F0B27" w:rsidRDefault="003F0B27" w:rsidP="006F33B5">
      <w:pPr>
        <w:jc w:val="both"/>
        <w:rPr>
          <w:rFonts w:ascii="Arial" w:hAnsi="Arial" w:cs="Arial"/>
          <w:sz w:val="22"/>
          <w:szCs w:val="22"/>
        </w:rPr>
      </w:pPr>
      <w:r w:rsidRPr="003F0B27">
        <w:rPr>
          <w:rFonts w:ascii="Arial" w:hAnsi="Arial" w:cs="Arial"/>
          <w:b/>
          <w:bCs/>
          <w:sz w:val="22"/>
          <w:szCs w:val="22"/>
        </w:rPr>
        <w:t xml:space="preserve">Dr Chris Calvert </w:t>
      </w:r>
      <w:r w:rsidRPr="003F0B27">
        <w:rPr>
          <w:rFonts w:ascii="Arial" w:hAnsi="Arial" w:cs="Arial"/>
          <w:sz w:val="22"/>
          <w:szCs w:val="22"/>
        </w:rPr>
        <w:t>(Eastern services, 2014) is the Lead Clinician for Endoscopy (RD&amp;E). He has particular interests in IBD and Nutrition.</w:t>
      </w:r>
    </w:p>
    <w:p w:rsidR="003F0B27" w:rsidRPr="003F0B27" w:rsidRDefault="003F0B27" w:rsidP="006F33B5">
      <w:pPr>
        <w:jc w:val="both"/>
        <w:rPr>
          <w:rFonts w:ascii="Arial" w:hAnsi="Arial" w:cs="Arial"/>
          <w:sz w:val="22"/>
          <w:szCs w:val="22"/>
        </w:rPr>
      </w:pPr>
    </w:p>
    <w:p w:rsidR="003F0B27" w:rsidRPr="003F0B27" w:rsidRDefault="003F0B27" w:rsidP="006F33B5">
      <w:pPr>
        <w:jc w:val="both"/>
        <w:rPr>
          <w:rFonts w:ascii="Arial" w:hAnsi="Arial" w:cs="Arial"/>
          <w:sz w:val="22"/>
          <w:szCs w:val="22"/>
        </w:rPr>
      </w:pPr>
      <w:r w:rsidRPr="003F0B27">
        <w:rPr>
          <w:rFonts w:ascii="Arial" w:hAnsi="Arial" w:cs="Arial"/>
          <w:b/>
          <w:bCs/>
          <w:sz w:val="22"/>
          <w:szCs w:val="22"/>
        </w:rPr>
        <w:t xml:space="preserve">Dr Jonathan </w:t>
      </w:r>
      <w:proofErr w:type="spellStart"/>
      <w:r w:rsidRPr="003F0B27">
        <w:rPr>
          <w:rFonts w:ascii="Arial" w:hAnsi="Arial" w:cs="Arial"/>
          <w:b/>
          <w:bCs/>
          <w:sz w:val="22"/>
          <w:szCs w:val="22"/>
        </w:rPr>
        <w:t>Digby-Bell</w:t>
      </w:r>
      <w:proofErr w:type="spellEnd"/>
      <w:r w:rsidRPr="003F0B27">
        <w:rPr>
          <w:rFonts w:ascii="Arial" w:hAnsi="Arial" w:cs="Arial"/>
          <w:b/>
          <w:bCs/>
          <w:sz w:val="22"/>
          <w:szCs w:val="22"/>
        </w:rPr>
        <w:t xml:space="preserve"> </w:t>
      </w:r>
      <w:r w:rsidRPr="003F0B27">
        <w:rPr>
          <w:rFonts w:ascii="Arial" w:hAnsi="Arial" w:cs="Arial"/>
          <w:sz w:val="22"/>
          <w:szCs w:val="22"/>
        </w:rPr>
        <w:t>(Eastern services, 2021) has clinical interests in inflammatory bowel disease, intestinal ultrasound and faecal transplantation and research interests in personalised IBD care.</w:t>
      </w:r>
    </w:p>
    <w:p w:rsidR="003F0B27" w:rsidRPr="003F0B27" w:rsidRDefault="003F0B27" w:rsidP="006F33B5">
      <w:pPr>
        <w:jc w:val="both"/>
        <w:rPr>
          <w:rFonts w:ascii="Arial" w:hAnsi="Arial" w:cs="Arial"/>
          <w:sz w:val="22"/>
          <w:szCs w:val="22"/>
        </w:rPr>
      </w:pPr>
    </w:p>
    <w:p w:rsidR="003F0B27" w:rsidRPr="003F0B27" w:rsidRDefault="003F0B27" w:rsidP="006F33B5">
      <w:pPr>
        <w:jc w:val="both"/>
        <w:rPr>
          <w:rFonts w:ascii="Arial" w:hAnsi="Arial" w:cs="Arial"/>
          <w:sz w:val="22"/>
          <w:szCs w:val="22"/>
        </w:rPr>
      </w:pPr>
      <w:r w:rsidRPr="003F0B27">
        <w:rPr>
          <w:rFonts w:ascii="Arial" w:hAnsi="Arial" w:cs="Arial"/>
          <w:b/>
          <w:bCs/>
          <w:sz w:val="22"/>
          <w:szCs w:val="22"/>
        </w:rPr>
        <w:t xml:space="preserve">Dr Shyam Prasad </w:t>
      </w:r>
      <w:r w:rsidRPr="003F0B27">
        <w:rPr>
          <w:rFonts w:ascii="Arial" w:hAnsi="Arial" w:cs="Arial"/>
          <w:sz w:val="22"/>
          <w:szCs w:val="22"/>
        </w:rPr>
        <w:t>(Eastern services, 2008) is the Lead Clinician of the RD&amp;E department. His interests include specialist endoscopy and research.</w:t>
      </w:r>
    </w:p>
    <w:p w:rsidR="000537DB" w:rsidRDefault="000537DB" w:rsidP="006F33B5">
      <w:pPr>
        <w:jc w:val="both"/>
        <w:rPr>
          <w:rFonts w:ascii="Arial" w:hAnsi="Arial" w:cs="Arial"/>
          <w:sz w:val="22"/>
          <w:szCs w:val="22"/>
        </w:rPr>
      </w:pPr>
    </w:p>
    <w:p w:rsidR="000537DB" w:rsidRDefault="000537DB" w:rsidP="006F33B5">
      <w:pPr>
        <w:jc w:val="both"/>
        <w:rPr>
          <w:rFonts w:ascii="Arial" w:hAnsi="Arial" w:cs="Arial"/>
          <w:sz w:val="22"/>
          <w:szCs w:val="22"/>
        </w:rPr>
      </w:pPr>
    </w:p>
    <w:p w:rsidR="000537DB" w:rsidRDefault="000537DB" w:rsidP="006F33B5">
      <w:pPr>
        <w:jc w:val="both"/>
        <w:rPr>
          <w:rFonts w:ascii="Arial" w:hAnsi="Arial" w:cs="Arial"/>
          <w:sz w:val="22"/>
          <w:szCs w:val="22"/>
        </w:rPr>
      </w:pPr>
    </w:p>
    <w:p w:rsidR="006F33B5" w:rsidRDefault="006F33B5" w:rsidP="006F33B5">
      <w:pPr>
        <w:jc w:val="both"/>
        <w:rPr>
          <w:rFonts w:ascii="Arial" w:hAnsi="Arial" w:cs="Arial"/>
          <w:sz w:val="22"/>
          <w:szCs w:val="22"/>
        </w:rPr>
      </w:pPr>
      <w:r>
        <w:rPr>
          <w:rFonts w:ascii="Arial" w:hAnsi="Arial" w:cs="Arial"/>
          <w:sz w:val="22"/>
          <w:szCs w:val="22"/>
        </w:rPr>
        <w:t xml:space="preserve">The department has </w:t>
      </w:r>
      <w:r w:rsidR="00E77B15">
        <w:rPr>
          <w:rFonts w:ascii="Arial" w:hAnsi="Arial" w:cs="Arial"/>
          <w:sz w:val="22"/>
          <w:szCs w:val="22"/>
        </w:rPr>
        <w:t>6</w:t>
      </w:r>
      <w:r>
        <w:rPr>
          <w:rFonts w:ascii="Arial" w:hAnsi="Arial" w:cs="Arial"/>
          <w:sz w:val="22"/>
          <w:szCs w:val="22"/>
        </w:rPr>
        <w:t xml:space="preserve"> IBD specialist nurses and </w:t>
      </w:r>
      <w:r w:rsidR="00E77B15">
        <w:rPr>
          <w:rFonts w:ascii="Arial" w:hAnsi="Arial" w:cs="Arial"/>
          <w:sz w:val="22"/>
          <w:szCs w:val="22"/>
        </w:rPr>
        <w:t>2</w:t>
      </w:r>
      <w:r>
        <w:rPr>
          <w:rFonts w:ascii="Arial" w:hAnsi="Arial" w:cs="Arial"/>
          <w:sz w:val="22"/>
          <w:szCs w:val="22"/>
        </w:rPr>
        <w:t xml:space="preserve"> hepatology specialist nurses. In addition, the department is supported by eight clinical nurse specialists for upper and lower gastrointestinal cancer.</w:t>
      </w:r>
    </w:p>
    <w:p w:rsidR="003B66AB" w:rsidRDefault="003B66AB" w:rsidP="006F33B5">
      <w:pPr>
        <w:jc w:val="both"/>
        <w:rPr>
          <w:rFonts w:ascii="Arial" w:hAnsi="Arial" w:cs="Arial"/>
          <w:sz w:val="22"/>
          <w:szCs w:val="22"/>
        </w:rPr>
      </w:pPr>
    </w:p>
    <w:p w:rsidR="006F33B5" w:rsidRDefault="006F33B5" w:rsidP="006F33B5">
      <w:pPr>
        <w:jc w:val="both"/>
        <w:rPr>
          <w:rFonts w:ascii="Arial" w:hAnsi="Arial" w:cs="Arial"/>
          <w:sz w:val="22"/>
          <w:szCs w:val="22"/>
        </w:rPr>
      </w:pPr>
      <w:r>
        <w:rPr>
          <w:rFonts w:ascii="Arial" w:hAnsi="Arial" w:cs="Arial"/>
          <w:sz w:val="22"/>
          <w:szCs w:val="22"/>
        </w:rPr>
        <w:t xml:space="preserve">The department has a five-roomed Endoscopy Unit delivering in excess of 11,000 </w:t>
      </w:r>
      <w:r w:rsidRPr="008C2692">
        <w:rPr>
          <w:rFonts w:ascii="Arial" w:hAnsi="Arial" w:cs="Arial"/>
          <w:sz w:val="22"/>
          <w:szCs w:val="22"/>
        </w:rPr>
        <w:t xml:space="preserve">diagnostic and therapeutic endoscopy </w:t>
      </w:r>
      <w:r>
        <w:rPr>
          <w:rFonts w:ascii="Arial" w:hAnsi="Arial" w:cs="Arial"/>
          <w:sz w:val="22"/>
          <w:szCs w:val="22"/>
        </w:rPr>
        <w:t xml:space="preserve">procedures annually </w:t>
      </w:r>
      <w:r w:rsidRPr="008C2692">
        <w:rPr>
          <w:rFonts w:ascii="Arial" w:hAnsi="Arial" w:cs="Arial"/>
          <w:sz w:val="22"/>
          <w:szCs w:val="22"/>
        </w:rPr>
        <w:t xml:space="preserve">including </w:t>
      </w:r>
      <w:r>
        <w:rPr>
          <w:rFonts w:ascii="Arial" w:hAnsi="Arial" w:cs="Arial"/>
          <w:sz w:val="22"/>
          <w:szCs w:val="22"/>
        </w:rPr>
        <w:t xml:space="preserve">ERCP, </w:t>
      </w:r>
      <w:r w:rsidRPr="008C2692">
        <w:rPr>
          <w:rFonts w:ascii="Arial" w:hAnsi="Arial" w:cs="Arial"/>
          <w:sz w:val="22"/>
          <w:szCs w:val="22"/>
        </w:rPr>
        <w:t>EUS</w:t>
      </w:r>
      <w:r>
        <w:rPr>
          <w:rFonts w:ascii="Arial" w:hAnsi="Arial" w:cs="Arial"/>
          <w:sz w:val="22"/>
          <w:szCs w:val="22"/>
        </w:rPr>
        <w:t xml:space="preserve"> / EBUS, upper and lower GI stenting, </w:t>
      </w:r>
      <w:proofErr w:type="spellStart"/>
      <w:r>
        <w:rPr>
          <w:rFonts w:ascii="Arial" w:hAnsi="Arial" w:cs="Arial"/>
          <w:sz w:val="22"/>
          <w:szCs w:val="22"/>
        </w:rPr>
        <w:t>Enteroscopy</w:t>
      </w:r>
      <w:proofErr w:type="spellEnd"/>
      <w:r>
        <w:rPr>
          <w:rFonts w:ascii="Arial" w:hAnsi="Arial" w:cs="Arial"/>
          <w:sz w:val="22"/>
          <w:szCs w:val="22"/>
        </w:rPr>
        <w:t xml:space="preserve">, Capsule Endoscopy, colorectal and upper GI EMR. Additional satellite endoscopy facilities are sited at local community hospitals. </w:t>
      </w:r>
      <w:r w:rsidRPr="008C2692">
        <w:rPr>
          <w:rFonts w:ascii="Arial" w:hAnsi="Arial" w:cs="Arial"/>
          <w:sz w:val="22"/>
          <w:szCs w:val="22"/>
        </w:rPr>
        <w:t xml:space="preserve">There are </w:t>
      </w:r>
      <w:r>
        <w:rPr>
          <w:rFonts w:ascii="Arial" w:hAnsi="Arial" w:cs="Arial"/>
          <w:sz w:val="22"/>
          <w:szCs w:val="22"/>
        </w:rPr>
        <w:t xml:space="preserve">dedicated training lists for fellows and SPRs. </w:t>
      </w:r>
    </w:p>
    <w:p w:rsidR="006F33B5" w:rsidRDefault="006F33B5" w:rsidP="006F33B5">
      <w:pPr>
        <w:jc w:val="both"/>
        <w:rPr>
          <w:rFonts w:ascii="Arial" w:hAnsi="Arial" w:cs="Arial"/>
          <w:sz w:val="22"/>
          <w:szCs w:val="22"/>
        </w:rPr>
      </w:pPr>
    </w:p>
    <w:p w:rsidR="006F33B5" w:rsidRPr="008C2692" w:rsidRDefault="006F33B5" w:rsidP="006F33B5">
      <w:pPr>
        <w:jc w:val="both"/>
        <w:rPr>
          <w:rFonts w:ascii="Arial" w:hAnsi="Arial" w:cs="Arial"/>
          <w:sz w:val="22"/>
          <w:szCs w:val="22"/>
        </w:rPr>
      </w:pPr>
      <w:r>
        <w:rPr>
          <w:rFonts w:ascii="Arial" w:hAnsi="Arial" w:cs="Arial"/>
          <w:sz w:val="22"/>
          <w:szCs w:val="22"/>
        </w:rPr>
        <w:t xml:space="preserve">The department holds </w:t>
      </w:r>
      <w:r w:rsidRPr="008C2692">
        <w:rPr>
          <w:rFonts w:ascii="Arial" w:hAnsi="Arial" w:cs="Arial"/>
          <w:sz w:val="22"/>
          <w:szCs w:val="22"/>
        </w:rPr>
        <w:t xml:space="preserve">weekly Gastroenterology Multi-disciplinary Team Meetings (MDMs) including Upper GI cancer, </w:t>
      </w:r>
      <w:r>
        <w:rPr>
          <w:rFonts w:ascii="Arial" w:hAnsi="Arial" w:cs="Arial"/>
          <w:sz w:val="22"/>
          <w:szCs w:val="22"/>
        </w:rPr>
        <w:t>lower GI cancer and IBD / benign meetings. Half day mandatory audit and governance meetings are held monthly.</w:t>
      </w:r>
    </w:p>
    <w:p w:rsidR="006F33B5" w:rsidRDefault="006F33B5" w:rsidP="006F33B5">
      <w:pPr>
        <w:jc w:val="both"/>
        <w:rPr>
          <w:rFonts w:ascii="Arial" w:hAnsi="Arial" w:cs="Arial"/>
          <w:sz w:val="22"/>
          <w:szCs w:val="22"/>
        </w:rPr>
      </w:pPr>
    </w:p>
    <w:p w:rsidR="006F33B5" w:rsidRPr="00587C46" w:rsidRDefault="006F33B5" w:rsidP="006F33B5">
      <w:pPr>
        <w:jc w:val="both"/>
        <w:rPr>
          <w:rFonts w:ascii="Arial" w:hAnsi="Arial"/>
          <w:bCs/>
          <w:sz w:val="22"/>
        </w:rPr>
      </w:pPr>
      <w:r w:rsidRPr="00587C46">
        <w:rPr>
          <w:rFonts w:ascii="Arial" w:hAnsi="Arial"/>
          <w:bCs/>
          <w:sz w:val="22"/>
        </w:rPr>
        <w:t xml:space="preserve">The hospital nutrition team delivers care for patients with complex nutritional requirements including inpatient and outpatients who require enteral and parenteral nutrition. This service supports patients with intestinal failure across the </w:t>
      </w:r>
      <w:smartTag w:uri="urn:schemas-microsoft-com:office:smarttags" w:element="place">
        <w:r w:rsidRPr="00587C46">
          <w:rPr>
            <w:rFonts w:ascii="Arial" w:hAnsi="Arial"/>
            <w:bCs/>
            <w:sz w:val="22"/>
          </w:rPr>
          <w:t>Peninsula</w:t>
        </w:r>
      </w:smartTag>
      <w:r w:rsidRPr="00587C46">
        <w:rPr>
          <w:rFonts w:ascii="Arial" w:hAnsi="Arial"/>
          <w:bCs/>
          <w:sz w:val="22"/>
        </w:rPr>
        <w:t xml:space="preserve">. The team comprises </w:t>
      </w:r>
      <w:r>
        <w:rPr>
          <w:rFonts w:ascii="Arial" w:hAnsi="Arial"/>
          <w:bCs/>
          <w:sz w:val="22"/>
        </w:rPr>
        <w:t>three</w:t>
      </w:r>
      <w:r w:rsidRPr="00587C46">
        <w:rPr>
          <w:rFonts w:ascii="Arial" w:hAnsi="Arial"/>
          <w:bCs/>
          <w:sz w:val="22"/>
        </w:rPr>
        <w:t xml:space="preserve"> specialist nurses, a dedicated dietician and a pharmacist</w:t>
      </w:r>
      <w:r>
        <w:rPr>
          <w:rFonts w:ascii="Arial" w:hAnsi="Arial"/>
          <w:bCs/>
          <w:sz w:val="22"/>
        </w:rPr>
        <w:t>.</w:t>
      </w:r>
    </w:p>
    <w:p w:rsidR="006F33B5" w:rsidRDefault="006F33B5" w:rsidP="006F33B5">
      <w:pPr>
        <w:jc w:val="both"/>
        <w:rPr>
          <w:b/>
          <w:bCs/>
        </w:rPr>
      </w:pPr>
    </w:p>
    <w:p w:rsidR="006F33B5" w:rsidRPr="008C2692" w:rsidRDefault="006F33B5" w:rsidP="006F33B5">
      <w:pPr>
        <w:jc w:val="both"/>
        <w:rPr>
          <w:rFonts w:ascii="Arial" w:hAnsi="Arial" w:cs="Arial"/>
          <w:sz w:val="22"/>
          <w:szCs w:val="22"/>
        </w:rPr>
      </w:pPr>
      <w:r w:rsidRPr="008C2692">
        <w:rPr>
          <w:rFonts w:ascii="Arial" w:hAnsi="Arial" w:cs="Arial"/>
          <w:sz w:val="22"/>
          <w:szCs w:val="22"/>
        </w:rPr>
        <w:t xml:space="preserve">The Division of Surgery includes </w:t>
      </w:r>
      <w:r>
        <w:rPr>
          <w:rFonts w:ascii="Arial" w:hAnsi="Arial" w:cs="Arial"/>
          <w:sz w:val="22"/>
          <w:szCs w:val="22"/>
        </w:rPr>
        <w:t>seven</w:t>
      </w:r>
      <w:r w:rsidRPr="008C2692">
        <w:rPr>
          <w:rFonts w:ascii="Arial" w:hAnsi="Arial" w:cs="Arial"/>
          <w:sz w:val="22"/>
          <w:szCs w:val="22"/>
        </w:rPr>
        <w:t xml:space="preserve"> </w:t>
      </w:r>
      <w:r>
        <w:rPr>
          <w:rFonts w:ascii="Arial" w:hAnsi="Arial" w:cs="Arial"/>
          <w:sz w:val="22"/>
          <w:szCs w:val="22"/>
        </w:rPr>
        <w:t>c</w:t>
      </w:r>
      <w:r w:rsidRPr="008C2692">
        <w:rPr>
          <w:rFonts w:ascii="Arial" w:hAnsi="Arial" w:cs="Arial"/>
          <w:sz w:val="22"/>
          <w:szCs w:val="22"/>
        </w:rPr>
        <w:t xml:space="preserve">onsultants with an interest in colorectal surgery, and </w:t>
      </w:r>
      <w:r>
        <w:rPr>
          <w:rFonts w:ascii="Arial" w:hAnsi="Arial" w:cs="Arial"/>
          <w:sz w:val="22"/>
          <w:szCs w:val="22"/>
        </w:rPr>
        <w:t>three</w:t>
      </w:r>
      <w:r w:rsidRPr="008C2692">
        <w:rPr>
          <w:rFonts w:ascii="Arial" w:hAnsi="Arial" w:cs="Arial"/>
          <w:sz w:val="22"/>
          <w:szCs w:val="22"/>
        </w:rPr>
        <w:t xml:space="preserve"> </w:t>
      </w:r>
      <w:r>
        <w:rPr>
          <w:rFonts w:ascii="Arial" w:hAnsi="Arial" w:cs="Arial"/>
          <w:sz w:val="22"/>
          <w:szCs w:val="22"/>
        </w:rPr>
        <w:t>c</w:t>
      </w:r>
      <w:r w:rsidRPr="008C2692">
        <w:rPr>
          <w:rFonts w:ascii="Arial" w:hAnsi="Arial" w:cs="Arial"/>
          <w:sz w:val="22"/>
          <w:szCs w:val="22"/>
        </w:rPr>
        <w:t xml:space="preserve">onsultants with an interest in upper GI and hepatobiliary surgery. The Radiology Department has </w:t>
      </w:r>
      <w:r>
        <w:rPr>
          <w:rFonts w:ascii="Arial" w:hAnsi="Arial" w:cs="Arial"/>
          <w:sz w:val="22"/>
          <w:szCs w:val="22"/>
        </w:rPr>
        <w:t>five c</w:t>
      </w:r>
      <w:r w:rsidRPr="008C2692">
        <w:rPr>
          <w:rFonts w:ascii="Arial" w:hAnsi="Arial" w:cs="Arial"/>
          <w:sz w:val="22"/>
          <w:szCs w:val="22"/>
        </w:rPr>
        <w:t xml:space="preserve">onsultants with a special interest in </w:t>
      </w:r>
      <w:r>
        <w:rPr>
          <w:rFonts w:ascii="Arial" w:hAnsi="Arial" w:cs="Arial"/>
          <w:sz w:val="22"/>
          <w:szCs w:val="22"/>
        </w:rPr>
        <w:t>g</w:t>
      </w:r>
      <w:r w:rsidRPr="008C2692">
        <w:rPr>
          <w:rFonts w:ascii="Arial" w:hAnsi="Arial" w:cs="Arial"/>
          <w:sz w:val="22"/>
          <w:szCs w:val="22"/>
        </w:rPr>
        <w:t>astroenterology including cross-sectional imaging and interventional radiology e</w:t>
      </w:r>
      <w:r>
        <w:rPr>
          <w:rFonts w:ascii="Arial" w:hAnsi="Arial" w:cs="Arial"/>
          <w:sz w:val="22"/>
          <w:szCs w:val="22"/>
        </w:rPr>
        <w:t>.</w:t>
      </w:r>
      <w:r w:rsidRPr="008C2692">
        <w:rPr>
          <w:rFonts w:ascii="Arial" w:hAnsi="Arial" w:cs="Arial"/>
          <w:sz w:val="22"/>
          <w:szCs w:val="22"/>
        </w:rPr>
        <w:t>g</w:t>
      </w:r>
      <w:r>
        <w:rPr>
          <w:rFonts w:ascii="Arial" w:hAnsi="Arial" w:cs="Arial"/>
          <w:sz w:val="22"/>
          <w:szCs w:val="22"/>
        </w:rPr>
        <w:t>.</w:t>
      </w:r>
      <w:r w:rsidRPr="008C2692">
        <w:rPr>
          <w:rFonts w:ascii="Arial" w:hAnsi="Arial" w:cs="Arial"/>
          <w:sz w:val="22"/>
          <w:szCs w:val="22"/>
        </w:rPr>
        <w:t xml:space="preserve"> TIPSS</w:t>
      </w:r>
      <w:r>
        <w:rPr>
          <w:rFonts w:ascii="Arial" w:hAnsi="Arial" w:cs="Arial"/>
          <w:sz w:val="22"/>
          <w:szCs w:val="22"/>
        </w:rPr>
        <w:t xml:space="preserve">, </w:t>
      </w:r>
      <w:proofErr w:type="spellStart"/>
      <w:r>
        <w:rPr>
          <w:rFonts w:ascii="Arial" w:hAnsi="Arial" w:cs="Arial"/>
          <w:sz w:val="22"/>
          <w:szCs w:val="22"/>
        </w:rPr>
        <w:t>chemoembolisation</w:t>
      </w:r>
      <w:proofErr w:type="spellEnd"/>
      <w:r>
        <w:rPr>
          <w:rFonts w:ascii="Arial" w:hAnsi="Arial" w:cs="Arial"/>
          <w:sz w:val="22"/>
          <w:szCs w:val="22"/>
        </w:rPr>
        <w:t xml:space="preserve"> and radiofrequency ablation</w:t>
      </w:r>
      <w:r w:rsidRPr="008C2692">
        <w:rPr>
          <w:rFonts w:ascii="Arial" w:hAnsi="Arial" w:cs="Arial"/>
          <w:sz w:val="22"/>
          <w:szCs w:val="22"/>
        </w:rPr>
        <w:t>.</w:t>
      </w:r>
    </w:p>
    <w:p w:rsidR="006F33B5" w:rsidRDefault="006F33B5" w:rsidP="006F33B5">
      <w:pPr>
        <w:jc w:val="both"/>
        <w:rPr>
          <w:rFonts w:ascii="Arial" w:hAnsi="Arial" w:cs="Arial"/>
          <w:b/>
          <w:sz w:val="22"/>
          <w:szCs w:val="22"/>
        </w:rPr>
      </w:pPr>
    </w:p>
    <w:p w:rsidR="006F33B5" w:rsidRDefault="006F33B5" w:rsidP="006F33B5">
      <w:pPr>
        <w:jc w:val="both"/>
        <w:rPr>
          <w:rFonts w:ascii="Arial" w:hAnsi="Arial" w:cs="Arial"/>
          <w:b/>
          <w:sz w:val="22"/>
          <w:szCs w:val="22"/>
        </w:rPr>
      </w:pPr>
    </w:p>
    <w:p w:rsidR="003F0B27" w:rsidRDefault="003F0B27">
      <w:pPr>
        <w:spacing w:after="200" w:line="276" w:lineRule="auto"/>
        <w:rPr>
          <w:rFonts w:ascii="Arial Bold" w:hAnsi="Arial Bold" w:cs="Arial"/>
          <w:b/>
          <w:sz w:val="22"/>
          <w:szCs w:val="22"/>
          <w:u w:val="single"/>
        </w:rPr>
      </w:pPr>
      <w:r>
        <w:rPr>
          <w:rFonts w:ascii="Arial Bold" w:hAnsi="Arial Bold" w:cs="Arial"/>
          <w:b/>
          <w:sz w:val="22"/>
          <w:szCs w:val="22"/>
          <w:u w:val="single"/>
        </w:rPr>
        <w:br w:type="page"/>
      </w:r>
    </w:p>
    <w:p w:rsidR="006F33B5" w:rsidRPr="00587C46" w:rsidRDefault="006F33B5" w:rsidP="006F33B5">
      <w:pPr>
        <w:pStyle w:val="BodyText"/>
        <w:spacing w:after="0"/>
        <w:jc w:val="both"/>
        <w:rPr>
          <w:rFonts w:ascii="Arial Bold" w:hAnsi="Arial Bold" w:cs="Arial"/>
          <w:b/>
          <w:sz w:val="22"/>
          <w:szCs w:val="22"/>
          <w:u w:val="single"/>
        </w:rPr>
      </w:pPr>
      <w:r w:rsidRPr="00587C46">
        <w:rPr>
          <w:rFonts w:ascii="Arial Bold" w:hAnsi="Arial Bold" w:cs="Arial"/>
          <w:b/>
          <w:sz w:val="22"/>
          <w:szCs w:val="22"/>
          <w:u w:val="single"/>
        </w:rPr>
        <w:lastRenderedPageBreak/>
        <w:t>Gastroenterology Research</w:t>
      </w:r>
    </w:p>
    <w:p w:rsidR="006F33B5" w:rsidRDefault="006F33B5" w:rsidP="006F33B5">
      <w:pPr>
        <w:pStyle w:val="BodyText"/>
        <w:spacing w:after="0"/>
        <w:jc w:val="both"/>
        <w:rPr>
          <w:rFonts w:ascii="Arial" w:hAnsi="Arial" w:cs="Arial"/>
          <w:sz w:val="22"/>
          <w:szCs w:val="22"/>
        </w:rPr>
      </w:pPr>
    </w:p>
    <w:p w:rsidR="00E77B15" w:rsidRPr="00E77B15" w:rsidRDefault="00E77B15" w:rsidP="00E77B15">
      <w:pPr>
        <w:jc w:val="both"/>
        <w:rPr>
          <w:rFonts w:ascii="Arial" w:hAnsi="Arial" w:cs="Arial"/>
          <w:sz w:val="22"/>
          <w:szCs w:val="22"/>
        </w:rPr>
      </w:pPr>
      <w:r w:rsidRPr="00E77B15">
        <w:rPr>
          <w:rFonts w:ascii="Arial" w:hAnsi="Arial" w:cs="Arial"/>
          <w:sz w:val="22"/>
          <w:szCs w:val="22"/>
        </w:rPr>
        <w:t xml:space="preserve">Investigator-led and clinical trial research has a prominent place in the Royal Devon department of gastroenterology and hepatology service and is supported by three full time research nurses. Patients are given the opportunity to participate in a wide number of NIHR gastroenterology and hepatology portfolio studies. </w:t>
      </w:r>
    </w:p>
    <w:p w:rsidR="00E77B15" w:rsidRPr="00E77B15" w:rsidRDefault="00E77B15" w:rsidP="00E77B15">
      <w:pPr>
        <w:jc w:val="both"/>
        <w:rPr>
          <w:rFonts w:ascii="Arial" w:hAnsi="Arial" w:cs="Arial"/>
          <w:sz w:val="22"/>
          <w:szCs w:val="22"/>
        </w:rPr>
      </w:pPr>
    </w:p>
    <w:p w:rsidR="00E77B15" w:rsidRPr="00E77B15" w:rsidRDefault="00E77B15" w:rsidP="00E77B15">
      <w:pPr>
        <w:jc w:val="both"/>
        <w:rPr>
          <w:rFonts w:ascii="Arial" w:hAnsi="Arial" w:cs="Arial"/>
          <w:sz w:val="22"/>
          <w:szCs w:val="22"/>
        </w:rPr>
      </w:pPr>
      <w:r w:rsidRPr="00E77B15">
        <w:rPr>
          <w:rFonts w:ascii="Arial" w:hAnsi="Arial" w:cs="Arial"/>
          <w:sz w:val="22"/>
          <w:szCs w:val="22"/>
        </w:rPr>
        <w:t xml:space="preserve">The University of Exeter Medical School has an excellent research reputation from basic biomedical research through to patient-centred research. The Exeter IBD research group includes three chief investigators (Ahmad, </w:t>
      </w:r>
      <w:proofErr w:type="spellStart"/>
      <w:r w:rsidRPr="00E77B15">
        <w:rPr>
          <w:rFonts w:ascii="Arial" w:hAnsi="Arial" w:cs="Arial"/>
          <w:sz w:val="22"/>
          <w:szCs w:val="22"/>
        </w:rPr>
        <w:t>Goodhand</w:t>
      </w:r>
      <w:proofErr w:type="spellEnd"/>
      <w:r w:rsidRPr="00E77B15">
        <w:rPr>
          <w:rFonts w:ascii="Arial" w:hAnsi="Arial" w:cs="Arial"/>
          <w:sz w:val="22"/>
          <w:szCs w:val="22"/>
        </w:rPr>
        <w:t xml:space="preserve">, Kennedy), three study coordinators, two laboratory technicians and a bioinformatician. The group is supported by the University of Exeter and NIHR biomedical research centre and currently provides research training to three PhD students and 2 visiting fellows. </w:t>
      </w:r>
      <w:r>
        <w:rPr>
          <w:rFonts w:ascii="Arial" w:hAnsi="Arial" w:cs="Arial"/>
          <w:sz w:val="22"/>
          <w:szCs w:val="22"/>
        </w:rPr>
        <w:t xml:space="preserve"> </w:t>
      </w:r>
      <w:r w:rsidRPr="00E77B15">
        <w:rPr>
          <w:rFonts w:ascii="Arial" w:hAnsi="Arial" w:cs="Arial"/>
          <w:sz w:val="22"/>
          <w:szCs w:val="22"/>
        </w:rPr>
        <w:t xml:space="preserve">The Exeter IBD group have led 10 UK NIHR UK-wide portfolio-adopted studies including PANTS, PRED4 and CLARITY IBD. </w:t>
      </w:r>
    </w:p>
    <w:p w:rsidR="00E77B15" w:rsidRPr="00E77B15" w:rsidRDefault="00E77B15" w:rsidP="00E77B15">
      <w:pPr>
        <w:jc w:val="both"/>
        <w:rPr>
          <w:rFonts w:ascii="Arial" w:hAnsi="Arial" w:cs="Arial"/>
          <w:sz w:val="22"/>
          <w:szCs w:val="22"/>
        </w:rPr>
      </w:pPr>
    </w:p>
    <w:p w:rsidR="006F33B5" w:rsidRPr="00E77B15" w:rsidRDefault="00E77B15" w:rsidP="00E77B15">
      <w:pPr>
        <w:jc w:val="both"/>
        <w:rPr>
          <w:rFonts w:ascii="Arial" w:hAnsi="Arial" w:cs="Arial"/>
          <w:sz w:val="22"/>
          <w:szCs w:val="22"/>
        </w:rPr>
      </w:pPr>
      <w:r w:rsidRPr="00E77B15">
        <w:rPr>
          <w:rFonts w:ascii="Arial" w:hAnsi="Arial" w:cs="Arial"/>
          <w:sz w:val="22"/>
          <w:szCs w:val="22"/>
        </w:rPr>
        <w:t>There is also an ongoing collaboration between the department and the Engineering Faculty of the University of Exeter to develop new modalities for capsule endoscopy.</w:t>
      </w:r>
    </w:p>
    <w:p w:rsidR="00E77B15" w:rsidRPr="00E77B15" w:rsidRDefault="00E77B15" w:rsidP="00E77B15">
      <w:pPr>
        <w:jc w:val="both"/>
        <w:rPr>
          <w:rFonts w:ascii="Arial" w:hAnsi="Arial" w:cs="Arial"/>
          <w:sz w:val="22"/>
          <w:szCs w:val="22"/>
        </w:rPr>
      </w:pPr>
    </w:p>
    <w:p w:rsidR="00E77B15" w:rsidRDefault="00E77B15" w:rsidP="00E77B15">
      <w:pPr>
        <w:jc w:val="both"/>
        <w:rPr>
          <w:rFonts w:ascii="Arial" w:hAnsi="Arial" w:cs="Arial"/>
          <w:sz w:val="22"/>
          <w:szCs w:val="22"/>
        </w:rPr>
      </w:pPr>
      <w:r w:rsidRPr="00E77B15">
        <w:rPr>
          <w:rFonts w:ascii="Arial" w:hAnsi="Arial" w:cs="Arial"/>
          <w:sz w:val="22"/>
          <w:szCs w:val="22"/>
        </w:rPr>
        <w:t xml:space="preserve">The Research, Innovation, Learning and Development (RILD) building on the RD&amp;E </w:t>
      </w:r>
      <w:proofErr w:type="spellStart"/>
      <w:r w:rsidRPr="00E77B15">
        <w:rPr>
          <w:rFonts w:ascii="Arial" w:hAnsi="Arial" w:cs="Arial"/>
          <w:sz w:val="22"/>
          <w:szCs w:val="22"/>
        </w:rPr>
        <w:t>Wonford</w:t>
      </w:r>
      <w:proofErr w:type="spellEnd"/>
      <w:r w:rsidRPr="00E77B15">
        <w:rPr>
          <w:rFonts w:ascii="Arial" w:hAnsi="Arial" w:cs="Arial"/>
          <w:sz w:val="22"/>
          <w:szCs w:val="22"/>
        </w:rPr>
        <w:t xml:space="preserve"> site is a £27.5m development which consists of the </w:t>
      </w:r>
      <w:proofErr w:type="spellStart"/>
      <w:r w:rsidRPr="00E77B15">
        <w:rPr>
          <w:rFonts w:ascii="Arial" w:hAnsi="Arial" w:cs="Arial"/>
          <w:sz w:val="22"/>
          <w:szCs w:val="22"/>
        </w:rPr>
        <w:t>Wellcome</w:t>
      </w:r>
      <w:proofErr w:type="spellEnd"/>
      <w:r w:rsidRPr="00E77B15">
        <w:rPr>
          <w:rFonts w:ascii="Arial" w:hAnsi="Arial" w:cs="Arial"/>
          <w:sz w:val="22"/>
          <w:szCs w:val="22"/>
        </w:rPr>
        <w:t xml:space="preserve"> Wolfson Centre for Medical Research, the National Institute for Health Research (NIHR) Exeter Clinical Research Facility, and a new Post Graduate Education Centre. The RILD is now home to a number of the Medical School’s laboratory-based research teams, comprising both clinical research areas and class two and three medical research laboratories, complete with offices, meeting rooms and write-up areas. </w:t>
      </w:r>
    </w:p>
    <w:p w:rsidR="00E77B15" w:rsidRPr="00E77B15" w:rsidRDefault="00E77B15" w:rsidP="00E77B15">
      <w:pPr>
        <w:jc w:val="both"/>
        <w:rPr>
          <w:rFonts w:ascii="Arial" w:hAnsi="Arial" w:cs="Arial"/>
          <w:sz w:val="22"/>
          <w:szCs w:val="22"/>
        </w:rPr>
      </w:pPr>
    </w:p>
    <w:p w:rsidR="00E77B15" w:rsidRPr="00E77B15" w:rsidRDefault="00E77B15" w:rsidP="00E77B15">
      <w:pPr>
        <w:jc w:val="both"/>
        <w:rPr>
          <w:rFonts w:ascii="Arial" w:hAnsi="Arial" w:cs="Arial"/>
          <w:sz w:val="22"/>
          <w:szCs w:val="22"/>
        </w:rPr>
      </w:pPr>
      <w:r w:rsidRPr="00E77B15">
        <w:rPr>
          <w:rFonts w:ascii="Arial" w:hAnsi="Arial" w:cs="Arial"/>
          <w:sz w:val="22"/>
          <w:szCs w:val="22"/>
        </w:rPr>
        <w:t xml:space="preserve">Active assistance in the planning and design of research projects is available from the Research and Development Support Unit based on the RD&amp;E </w:t>
      </w:r>
      <w:proofErr w:type="spellStart"/>
      <w:r w:rsidRPr="00E77B15">
        <w:rPr>
          <w:rFonts w:ascii="Arial" w:hAnsi="Arial" w:cs="Arial"/>
          <w:sz w:val="22"/>
          <w:szCs w:val="22"/>
        </w:rPr>
        <w:t>Wonford</w:t>
      </w:r>
      <w:proofErr w:type="spellEnd"/>
      <w:r w:rsidRPr="00E77B15">
        <w:rPr>
          <w:rFonts w:ascii="Arial" w:hAnsi="Arial" w:cs="Arial"/>
          <w:sz w:val="22"/>
          <w:szCs w:val="22"/>
        </w:rPr>
        <w:t xml:space="preserve"> hospital site. The Trust has an active academic strategy to facilitate research, development and teaching. </w:t>
      </w:r>
    </w:p>
    <w:p w:rsidR="006F33B5" w:rsidRDefault="006F33B5" w:rsidP="006F33B5">
      <w:pPr>
        <w:pStyle w:val="BodyText"/>
        <w:spacing w:after="0"/>
        <w:jc w:val="both"/>
        <w:rPr>
          <w:rFonts w:ascii="Arial" w:hAnsi="Arial" w:cs="Arial"/>
          <w:b/>
          <w:bCs/>
          <w:sz w:val="22"/>
          <w:szCs w:val="22"/>
          <w:u w:val="single"/>
        </w:rPr>
      </w:pPr>
      <w:r>
        <w:rPr>
          <w:rFonts w:ascii="Arial" w:hAnsi="Arial" w:cs="Arial"/>
          <w:b/>
          <w:bCs/>
          <w:sz w:val="22"/>
          <w:szCs w:val="22"/>
          <w:u w:val="single"/>
        </w:rPr>
        <w:t>Description of post</w:t>
      </w:r>
    </w:p>
    <w:p w:rsidR="006F33B5" w:rsidRDefault="006F33B5" w:rsidP="006F33B5">
      <w:pPr>
        <w:pStyle w:val="BodyText"/>
        <w:spacing w:after="0"/>
        <w:jc w:val="both"/>
        <w:rPr>
          <w:rFonts w:ascii="Arial" w:hAnsi="Arial" w:cs="Arial"/>
          <w:b/>
          <w:bCs/>
          <w:sz w:val="22"/>
          <w:szCs w:val="22"/>
          <w:u w:val="single"/>
        </w:rPr>
      </w:pPr>
    </w:p>
    <w:p w:rsidR="006F33B5" w:rsidRDefault="006F33B5" w:rsidP="006F33B5">
      <w:pPr>
        <w:pStyle w:val="BodyText"/>
        <w:spacing w:after="0"/>
        <w:jc w:val="both"/>
        <w:rPr>
          <w:rFonts w:ascii="Arial" w:hAnsi="Arial" w:cs="Arial"/>
          <w:bCs/>
          <w:sz w:val="22"/>
          <w:szCs w:val="22"/>
        </w:rPr>
      </w:pPr>
      <w:r w:rsidRPr="003B787B">
        <w:rPr>
          <w:rFonts w:ascii="Arial" w:hAnsi="Arial" w:cs="Arial"/>
          <w:bCs/>
          <w:sz w:val="22"/>
          <w:szCs w:val="22"/>
        </w:rPr>
        <w:t xml:space="preserve">The post is open to </w:t>
      </w:r>
      <w:smartTag w:uri="urn:schemas-microsoft-com:office:smarttags" w:element="place">
        <w:smartTag w:uri="urn:schemas-microsoft-com:office:smarttags" w:element="country-region">
          <w:r w:rsidRPr="003B787B">
            <w:rPr>
              <w:rFonts w:ascii="Arial" w:hAnsi="Arial" w:cs="Arial"/>
              <w:bCs/>
              <w:sz w:val="22"/>
              <w:szCs w:val="22"/>
            </w:rPr>
            <w:t>UK</w:t>
          </w:r>
        </w:smartTag>
      </w:smartTag>
      <w:r w:rsidRPr="003B787B">
        <w:rPr>
          <w:rFonts w:ascii="Arial" w:hAnsi="Arial" w:cs="Arial"/>
          <w:bCs/>
          <w:sz w:val="22"/>
          <w:szCs w:val="22"/>
        </w:rPr>
        <w:t xml:space="preserve"> and overseas </w:t>
      </w:r>
      <w:r>
        <w:rPr>
          <w:rFonts w:ascii="Arial" w:hAnsi="Arial" w:cs="Arial"/>
          <w:bCs/>
          <w:sz w:val="22"/>
          <w:szCs w:val="22"/>
        </w:rPr>
        <w:t xml:space="preserve">applicants. It is a one-year position, </w:t>
      </w:r>
      <w:r w:rsidR="00E77B15">
        <w:rPr>
          <w:rFonts w:ascii="Arial" w:hAnsi="Arial" w:cs="Arial"/>
          <w:bCs/>
          <w:sz w:val="22"/>
          <w:szCs w:val="22"/>
        </w:rPr>
        <w:t>which can be extended to 2-years on mutual agreement.</w:t>
      </w:r>
    </w:p>
    <w:p w:rsidR="00E77B15" w:rsidRDefault="00E77B15" w:rsidP="006F33B5">
      <w:pPr>
        <w:pStyle w:val="BodyText"/>
        <w:spacing w:after="0"/>
        <w:jc w:val="both"/>
        <w:rPr>
          <w:rFonts w:ascii="Arial" w:hAnsi="Arial" w:cs="Arial"/>
          <w:bCs/>
          <w:sz w:val="22"/>
          <w:szCs w:val="22"/>
        </w:rPr>
      </w:pPr>
    </w:p>
    <w:p w:rsidR="00E77B15" w:rsidRDefault="00E77B15" w:rsidP="00E77B15">
      <w:pPr>
        <w:jc w:val="both"/>
        <w:rPr>
          <w:rFonts w:ascii="Arial" w:hAnsi="Arial" w:cs="Arial"/>
          <w:sz w:val="22"/>
          <w:szCs w:val="22"/>
        </w:rPr>
      </w:pPr>
      <w:r>
        <w:rPr>
          <w:rFonts w:ascii="Arial" w:hAnsi="Arial" w:cs="Arial"/>
          <w:sz w:val="22"/>
          <w:szCs w:val="22"/>
        </w:rPr>
        <w:t xml:space="preserve">The post holder will be expected to flexibly to deliver 4-5 clinical sessions per week (combination of endoscopy and outpatient clinics). </w:t>
      </w:r>
      <w:r w:rsidRPr="008C2692">
        <w:rPr>
          <w:rFonts w:ascii="Arial" w:hAnsi="Arial" w:cs="Arial"/>
          <w:sz w:val="22"/>
          <w:szCs w:val="22"/>
        </w:rPr>
        <w:t>Training</w:t>
      </w:r>
      <w:r>
        <w:rPr>
          <w:rFonts w:ascii="Arial" w:hAnsi="Arial" w:cs="Arial"/>
          <w:sz w:val="22"/>
          <w:szCs w:val="22"/>
        </w:rPr>
        <w:t>,</w:t>
      </w:r>
      <w:r w:rsidRPr="008C2692">
        <w:rPr>
          <w:rFonts w:ascii="Arial" w:hAnsi="Arial" w:cs="Arial"/>
          <w:sz w:val="22"/>
          <w:szCs w:val="22"/>
        </w:rPr>
        <w:t xml:space="preserve"> </w:t>
      </w:r>
      <w:r>
        <w:rPr>
          <w:rFonts w:ascii="Arial" w:hAnsi="Arial" w:cs="Arial"/>
          <w:sz w:val="22"/>
          <w:szCs w:val="22"/>
        </w:rPr>
        <w:t xml:space="preserve">tailored to the individual, </w:t>
      </w:r>
      <w:r w:rsidRPr="008C2692">
        <w:rPr>
          <w:rFonts w:ascii="Arial" w:hAnsi="Arial" w:cs="Arial"/>
          <w:sz w:val="22"/>
          <w:szCs w:val="22"/>
        </w:rPr>
        <w:t>in advanced diagnostic and therapeutic endoscopy is available and encouraged, e.</w:t>
      </w:r>
      <w:r>
        <w:rPr>
          <w:rFonts w:ascii="Arial" w:hAnsi="Arial" w:cs="Arial"/>
          <w:sz w:val="22"/>
          <w:szCs w:val="22"/>
        </w:rPr>
        <w:t xml:space="preserve">g. in EUS, </w:t>
      </w:r>
      <w:r w:rsidRPr="008C2692">
        <w:rPr>
          <w:rFonts w:ascii="Arial" w:hAnsi="Arial" w:cs="Arial"/>
          <w:sz w:val="22"/>
          <w:szCs w:val="22"/>
        </w:rPr>
        <w:t>ERCP</w:t>
      </w:r>
      <w:r>
        <w:rPr>
          <w:rFonts w:ascii="Arial" w:hAnsi="Arial" w:cs="Arial"/>
          <w:sz w:val="22"/>
          <w:szCs w:val="22"/>
        </w:rPr>
        <w:t xml:space="preserve">, </w:t>
      </w:r>
      <w:proofErr w:type="spellStart"/>
      <w:r>
        <w:rPr>
          <w:rFonts w:ascii="Arial" w:hAnsi="Arial" w:cs="Arial"/>
          <w:sz w:val="22"/>
          <w:szCs w:val="22"/>
        </w:rPr>
        <w:t>enteroscopy</w:t>
      </w:r>
      <w:proofErr w:type="spellEnd"/>
      <w:r>
        <w:rPr>
          <w:rFonts w:ascii="Arial" w:hAnsi="Arial" w:cs="Arial"/>
          <w:sz w:val="22"/>
          <w:szCs w:val="22"/>
        </w:rPr>
        <w:t xml:space="preserve"> and capsule endoscopy. There are also opportunities to gain more experience in the field of nutrition and intestinal failure.</w:t>
      </w:r>
    </w:p>
    <w:p w:rsidR="00E77B15" w:rsidRDefault="00E77B15" w:rsidP="00E77B15">
      <w:pPr>
        <w:jc w:val="both"/>
        <w:rPr>
          <w:rFonts w:ascii="Arial" w:hAnsi="Arial" w:cs="Arial"/>
          <w:sz w:val="22"/>
          <w:szCs w:val="22"/>
        </w:rPr>
      </w:pPr>
    </w:p>
    <w:p w:rsidR="00E77B15" w:rsidRDefault="00E77B15" w:rsidP="00E77B15">
      <w:pPr>
        <w:jc w:val="both"/>
        <w:rPr>
          <w:rFonts w:ascii="Arial" w:hAnsi="Arial" w:cs="Arial"/>
          <w:sz w:val="22"/>
          <w:szCs w:val="22"/>
        </w:rPr>
      </w:pPr>
      <w:r>
        <w:rPr>
          <w:rFonts w:ascii="Arial" w:hAnsi="Arial" w:cs="Arial"/>
          <w:sz w:val="22"/>
          <w:szCs w:val="22"/>
        </w:rPr>
        <w:t>Inflammatory bowel disease is the major focus of the post, and the post holder will gain experience in the inpatient and outpatient management of patients as well as provide support for the IBD nurse specialists and IBD research nurses delivering commercial clinical trials.</w:t>
      </w:r>
    </w:p>
    <w:p w:rsidR="00E77B15" w:rsidRDefault="00E77B15" w:rsidP="00E77B15">
      <w:pPr>
        <w:jc w:val="both"/>
        <w:rPr>
          <w:rFonts w:ascii="Arial" w:hAnsi="Arial" w:cs="Arial"/>
          <w:sz w:val="22"/>
          <w:szCs w:val="22"/>
        </w:rPr>
      </w:pPr>
    </w:p>
    <w:p w:rsidR="00E77B15" w:rsidRDefault="00E77B15" w:rsidP="00E77B15">
      <w:pPr>
        <w:jc w:val="both"/>
        <w:rPr>
          <w:rFonts w:ascii="Arial" w:hAnsi="Arial" w:cs="Arial"/>
          <w:bCs/>
          <w:sz w:val="22"/>
          <w:szCs w:val="22"/>
        </w:rPr>
      </w:pPr>
      <w:r w:rsidRPr="008C2692">
        <w:rPr>
          <w:rFonts w:ascii="Arial" w:hAnsi="Arial" w:cs="Arial"/>
          <w:sz w:val="22"/>
          <w:szCs w:val="22"/>
        </w:rPr>
        <w:t xml:space="preserve">The </w:t>
      </w:r>
      <w:r>
        <w:rPr>
          <w:rFonts w:ascii="Arial" w:hAnsi="Arial" w:cs="Arial"/>
          <w:sz w:val="22"/>
          <w:szCs w:val="22"/>
        </w:rPr>
        <w:t>post holder will</w:t>
      </w:r>
      <w:r w:rsidRPr="008C2692">
        <w:rPr>
          <w:rFonts w:ascii="Arial" w:hAnsi="Arial" w:cs="Arial"/>
          <w:sz w:val="22"/>
          <w:szCs w:val="22"/>
        </w:rPr>
        <w:t xml:space="preserve"> </w:t>
      </w:r>
      <w:r>
        <w:rPr>
          <w:rFonts w:ascii="Arial" w:hAnsi="Arial" w:cs="Arial"/>
          <w:sz w:val="22"/>
          <w:szCs w:val="22"/>
        </w:rPr>
        <w:t xml:space="preserve">become an active member of the Exeter IBD research group and will be supported to develop and deliver their own research project. The post </w:t>
      </w:r>
      <w:proofErr w:type="spellStart"/>
      <w:r>
        <w:rPr>
          <w:rFonts w:ascii="Arial" w:hAnsi="Arial" w:cs="Arial"/>
          <w:sz w:val="22"/>
          <w:szCs w:val="22"/>
        </w:rPr>
        <w:t>hodler</w:t>
      </w:r>
      <w:proofErr w:type="spellEnd"/>
      <w:r>
        <w:rPr>
          <w:rFonts w:ascii="Arial" w:hAnsi="Arial" w:cs="Arial"/>
          <w:sz w:val="22"/>
          <w:szCs w:val="22"/>
        </w:rPr>
        <w:t xml:space="preserve"> will be encouraged to attend regional, national and international IBD meetings.</w:t>
      </w:r>
    </w:p>
    <w:p w:rsidR="00E77B15" w:rsidRDefault="00E77B15" w:rsidP="006F33B5">
      <w:pPr>
        <w:pStyle w:val="BodyText"/>
        <w:spacing w:after="0"/>
        <w:jc w:val="both"/>
        <w:rPr>
          <w:rFonts w:ascii="Arial" w:hAnsi="Arial" w:cs="Arial"/>
          <w:bCs/>
          <w:sz w:val="22"/>
          <w:szCs w:val="22"/>
        </w:rPr>
      </w:pPr>
    </w:p>
    <w:p w:rsidR="00E77B15" w:rsidRDefault="00E77B15" w:rsidP="006F33B5">
      <w:pPr>
        <w:pStyle w:val="BodyText"/>
        <w:spacing w:after="0"/>
        <w:jc w:val="both"/>
        <w:rPr>
          <w:rFonts w:ascii="Arial" w:hAnsi="Arial" w:cs="Arial"/>
          <w:bCs/>
          <w:sz w:val="22"/>
          <w:szCs w:val="22"/>
        </w:rPr>
      </w:pPr>
      <w:r>
        <w:rPr>
          <w:rFonts w:ascii="Arial" w:hAnsi="Arial" w:cs="Arial"/>
          <w:sz w:val="22"/>
          <w:szCs w:val="22"/>
        </w:rPr>
        <w:t>The post holder may wish to participate in the out of hours medical rota, however this is not compulsory. They will receive educational supervision and support.</w:t>
      </w:r>
    </w:p>
    <w:p w:rsidR="00E77B15" w:rsidRDefault="00E77B15" w:rsidP="006F33B5">
      <w:pPr>
        <w:pStyle w:val="BodyText"/>
        <w:spacing w:after="0"/>
        <w:jc w:val="both"/>
        <w:rPr>
          <w:rFonts w:ascii="Arial" w:hAnsi="Arial" w:cs="Arial"/>
          <w:bCs/>
          <w:sz w:val="22"/>
          <w:szCs w:val="22"/>
        </w:rPr>
      </w:pPr>
    </w:p>
    <w:p w:rsidR="00E77B15" w:rsidRDefault="00E77B15" w:rsidP="006F33B5">
      <w:pPr>
        <w:pStyle w:val="BodyText"/>
        <w:spacing w:after="0"/>
        <w:jc w:val="both"/>
        <w:rPr>
          <w:rFonts w:ascii="Arial" w:hAnsi="Arial" w:cs="Arial"/>
          <w:bCs/>
          <w:sz w:val="22"/>
          <w:szCs w:val="22"/>
        </w:rPr>
      </w:pPr>
    </w:p>
    <w:p w:rsidR="003F0B27" w:rsidRDefault="003F0B27">
      <w:pPr>
        <w:spacing w:after="200" w:line="276" w:lineRule="auto"/>
        <w:rPr>
          <w:rFonts w:ascii="Arial" w:hAnsi="Arial" w:cs="Arial"/>
          <w:b/>
          <w:sz w:val="22"/>
          <w:szCs w:val="22"/>
          <w:u w:val="single"/>
        </w:rPr>
      </w:pPr>
      <w:r>
        <w:rPr>
          <w:rFonts w:ascii="Arial" w:hAnsi="Arial" w:cs="Arial"/>
          <w:b/>
          <w:sz w:val="22"/>
          <w:szCs w:val="22"/>
          <w:u w:val="single"/>
        </w:rPr>
        <w:br w:type="page"/>
      </w:r>
    </w:p>
    <w:p w:rsidR="006F33B5" w:rsidRDefault="006F33B5" w:rsidP="006F33B5">
      <w:pPr>
        <w:jc w:val="both"/>
        <w:rPr>
          <w:rFonts w:ascii="Arial" w:hAnsi="Arial" w:cs="Arial"/>
          <w:b/>
          <w:sz w:val="22"/>
          <w:szCs w:val="22"/>
          <w:u w:val="single"/>
        </w:rPr>
      </w:pPr>
      <w:r>
        <w:rPr>
          <w:rFonts w:ascii="Arial" w:hAnsi="Arial" w:cs="Arial"/>
          <w:b/>
          <w:sz w:val="22"/>
          <w:szCs w:val="22"/>
          <w:u w:val="single"/>
        </w:rPr>
        <w:lastRenderedPageBreak/>
        <w:t xml:space="preserve">Example </w:t>
      </w:r>
      <w:r w:rsidRPr="009D7C4B">
        <w:rPr>
          <w:rFonts w:ascii="Arial" w:hAnsi="Arial" w:cs="Arial"/>
          <w:b/>
          <w:sz w:val="22"/>
          <w:szCs w:val="22"/>
          <w:u w:val="single"/>
        </w:rPr>
        <w:t>Timetable</w:t>
      </w:r>
    </w:p>
    <w:p w:rsidR="006F33B5" w:rsidRDefault="006F33B5" w:rsidP="006F33B5">
      <w:pPr>
        <w:jc w:val="both"/>
        <w:rPr>
          <w:rFonts w:ascii="Arial" w:hAnsi="Arial" w:cs="Arial"/>
          <w:b/>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2488"/>
        <w:gridCol w:w="2490"/>
        <w:gridCol w:w="2411"/>
      </w:tblGrid>
      <w:tr w:rsidR="006F33B5" w:rsidRPr="00C02421" w:rsidTr="006F33B5">
        <w:trPr>
          <w:trHeight w:val="338"/>
        </w:trPr>
        <w:tc>
          <w:tcPr>
            <w:tcW w:w="902" w:type="pct"/>
            <w:shd w:val="clear" w:color="auto" w:fill="auto"/>
          </w:tcPr>
          <w:p w:rsidR="006F33B5" w:rsidRPr="00C02421" w:rsidRDefault="006F33B5" w:rsidP="00504CB8">
            <w:pPr>
              <w:jc w:val="both"/>
              <w:rPr>
                <w:rFonts w:ascii="Arial" w:hAnsi="Arial" w:cs="Arial"/>
                <w:b/>
                <w:sz w:val="22"/>
                <w:szCs w:val="22"/>
                <w:u w:val="single"/>
              </w:rPr>
            </w:pPr>
          </w:p>
        </w:tc>
        <w:tc>
          <w:tcPr>
            <w:tcW w:w="1380" w:type="pct"/>
            <w:shd w:val="clear" w:color="auto" w:fill="auto"/>
          </w:tcPr>
          <w:p w:rsidR="006F33B5" w:rsidRPr="00C02421" w:rsidRDefault="006F33B5" w:rsidP="00504CB8">
            <w:pPr>
              <w:jc w:val="center"/>
              <w:rPr>
                <w:rFonts w:ascii="Arial" w:hAnsi="Arial" w:cs="Arial"/>
                <w:sz w:val="22"/>
                <w:szCs w:val="22"/>
                <w:u w:val="single"/>
              </w:rPr>
            </w:pPr>
            <w:r w:rsidRPr="00C02421">
              <w:rPr>
                <w:rFonts w:ascii="Arial" w:hAnsi="Arial" w:cs="Arial"/>
                <w:sz w:val="22"/>
                <w:szCs w:val="22"/>
                <w:u w:val="single"/>
              </w:rPr>
              <w:t>AM</w:t>
            </w:r>
          </w:p>
        </w:tc>
        <w:tc>
          <w:tcPr>
            <w:tcW w:w="1381" w:type="pct"/>
          </w:tcPr>
          <w:p w:rsidR="006F33B5" w:rsidRPr="00C02421" w:rsidRDefault="006F33B5" w:rsidP="00504CB8">
            <w:pPr>
              <w:jc w:val="center"/>
              <w:rPr>
                <w:rFonts w:ascii="Arial" w:hAnsi="Arial" w:cs="Arial"/>
                <w:sz w:val="22"/>
                <w:szCs w:val="22"/>
                <w:u w:val="single"/>
              </w:rPr>
            </w:pPr>
            <w:r>
              <w:rPr>
                <w:rFonts w:ascii="Arial" w:hAnsi="Arial" w:cs="Arial"/>
                <w:sz w:val="22"/>
                <w:szCs w:val="22"/>
                <w:u w:val="single"/>
              </w:rPr>
              <w:t>Lunch meeting</w:t>
            </w:r>
          </w:p>
        </w:tc>
        <w:tc>
          <w:tcPr>
            <w:tcW w:w="1337" w:type="pct"/>
            <w:shd w:val="clear" w:color="auto" w:fill="auto"/>
          </w:tcPr>
          <w:p w:rsidR="006F33B5" w:rsidRPr="00C02421" w:rsidRDefault="006F33B5" w:rsidP="00504CB8">
            <w:pPr>
              <w:jc w:val="center"/>
              <w:rPr>
                <w:rFonts w:ascii="Arial" w:hAnsi="Arial" w:cs="Arial"/>
                <w:sz w:val="22"/>
                <w:szCs w:val="22"/>
                <w:u w:val="single"/>
              </w:rPr>
            </w:pPr>
            <w:r w:rsidRPr="00C02421">
              <w:rPr>
                <w:rFonts w:ascii="Arial" w:hAnsi="Arial" w:cs="Arial"/>
                <w:sz w:val="22"/>
                <w:szCs w:val="22"/>
                <w:u w:val="single"/>
              </w:rPr>
              <w:t>PM</w:t>
            </w:r>
          </w:p>
        </w:tc>
      </w:tr>
      <w:tr w:rsidR="006F33B5" w:rsidRPr="00C02421" w:rsidTr="006F33B5">
        <w:trPr>
          <w:trHeight w:val="472"/>
        </w:trPr>
        <w:tc>
          <w:tcPr>
            <w:tcW w:w="902" w:type="pct"/>
            <w:shd w:val="clear" w:color="auto" w:fill="auto"/>
            <w:vAlign w:val="center"/>
          </w:tcPr>
          <w:p w:rsidR="006F33B5" w:rsidRPr="00C02421" w:rsidRDefault="006F33B5" w:rsidP="00504CB8">
            <w:pPr>
              <w:jc w:val="both"/>
              <w:rPr>
                <w:rFonts w:ascii="Arial" w:hAnsi="Arial" w:cs="Arial"/>
                <w:b/>
                <w:sz w:val="22"/>
                <w:szCs w:val="22"/>
              </w:rPr>
            </w:pPr>
            <w:r w:rsidRPr="00C02421">
              <w:rPr>
                <w:rFonts w:ascii="Arial" w:hAnsi="Arial" w:cs="Arial"/>
                <w:b/>
                <w:sz w:val="22"/>
                <w:szCs w:val="22"/>
              </w:rPr>
              <w:t>Monday</w:t>
            </w:r>
          </w:p>
        </w:tc>
        <w:tc>
          <w:tcPr>
            <w:tcW w:w="1380" w:type="pct"/>
            <w:shd w:val="clear" w:color="auto" w:fill="auto"/>
            <w:vAlign w:val="center"/>
          </w:tcPr>
          <w:p w:rsidR="006F33B5" w:rsidRPr="00C02421" w:rsidRDefault="00E77B15" w:rsidP="00504CB8">
            <w:pPr>
              <w:jc w:val="both"/>
              <w:rPr>
                <w:rFonts w:ascii="Arial" w:hAnsi="Arial" w:cs="Arial"/>
                <w:sz w:val="22"/>
                <w:szCs w:val="22"/>
              </w:rPr>
            </w:pPr>
            <w:r>
              <w:rPr>
                <w:rFonts w:ascii="Arial" w:hAnsi="Arial" w:cs="Arial"/>
                <w:sz w:val="22"/>
                <w:szCs w:val="22"/>
              </w:rPr>
              <w:t>Clinic (TA)</w:t>
            </w:r>
          </w:p>
        </w:tc>
        <w:tc>
          <w:tcPr>
            <w:tcW w:w="1381" w:type="pct"/>
            <w:vAlign w:val="center"/>
          </w:tcPr>
          <w:p w:rsidR="006F33B5" w:rsidRPr="00C02421" w:rsidRDefault="00E77B15" w:rsidP="00504CB8">
            <w:pPr>
              <w:jc w:val="both"/>
              <w:rPr>
                <w:rFonts w:ascii="Arial" w:hAnsi="Arial" w:cs="Arial"/>
                <w:sz w:val="22"/>
                <w:szCs w:val="22"/>
              </w:rPr>
            </w:pPr>
            <w:r>
              <w:rPr>
                <w:rFonts w:ascii="Arial" w:hAnsi="Arial" w:cs="Arial"/>
                <w:sz w:val="22"/>
                <w:szCs w:val="22"/>
              </w:rPr>
              <w:t>IBD MDT</w:t>
            </w:r>
          </w:p>
        </w:tc>
        <w:tc>
          <w:tcPr>
            <w:tcW w:w="1337" w:type="pct"/>
            <w:shd w:val="clear" w:color="auto" w:fill="auto"/>
            <w:vAlign w:val="center"/>
          </w:tcPr>
          <w:p w:rsidR="006F33B5" w:rsidRPr="00C02421" w:rsidRDefault="00E77B15" w:rsidP="00504CB8">
            <w:pPr>
              <w:jc w:val="both"/>
              <w:rPr>
                <w:rFonts w:ascii="Arial" w:hAnsi="Arial" w:cs="Arial"/>
                <w:sz w:val="22"/>
                <w:szCs w:val="22"/>
              </w:rPr>
            </w:pPr>
            <w:r>
              <w:rPr>
                <w:rFonts w:ascii="Arial" w:hAnsi="Arial" w:cs="Arial"/>
                <w:sz w:val="22"/>
                <w:szCs w:val="22"/>
              </w:rPr>
              <w:t>Endoscopy</w:t>
            </w:r>
          </w:p>
        </w:tc>
      </w:tr>
      <w:tr w:rsidR="006F33B5" w:rsidRPr="00C02421" w:rsidTr="006F33B5">
        <w:trPr>
          <w:trHeight w:val="472"/>
        </w:trPr>
        <w:tc>
          <w:tcPr>
            <w:tcW w:w="902" w:type="pct"/>
            <w:shd w:val="clear" w:color="auto" w:fill="auto"/>
            <w:vAlign w:val="center"/>
          </w:tcPr>
          <w:p w:rsidR="006F33B5" w:rsidRPr="00C02421" w:rsidRDefault="006F33B5" w:rsidP="00504CB8">
            <w:pPr>
              <w:jc w:val="both"/>
              <w:rPr>
                <w:rFonts w:ascii="Arial" w:hAnsi="Arial" w:cs="Arial"/>
                <w:b/>
                <w:sz w:val="22"/>
                <w:szCs w:val="22"/>
              </w:rPr>
            </w:pPr>
            <w:r w:rsidRPr="00C02421">
              <w:rPr>
                <w:rFonts w:ascii="Arial" w:hAnsi="Arial" w:cs="Arial"/>
                <w:b/>
                <w:sz w:val="22"/>
                <w:szCs w:val="22"/>
              </w:rPr>
              <w:t>Tuesday</w:t>
            </w:r>
          </w:p>
        </w:tc>
        <w:tc>
          <w:tcPr>
            <w:tcW w:w="1380" w:type="pct"/>
            <w:shd w:val="clear" w:color="auto" w:fill="auto"/>
            <w:vAlign w:val="center"/>
          </w:tcPr>
          <w:p w:rsidR="006F33B5" w:rsidRPr="00C02421" w:rsidRDefault="00E77B15" w:rsidP="00504CB8">
            <w:pPr>
              <w:jc w:val="both"/>
              <w:rPr>
                <w:rFonts w:ascii="Arial" w:hAnsi="Arial" w:cs="Arial"/>
                <w:sz w:val="22"/>
                <w:szCs w:val="22"/>
              </w:rPr>
            </w:pPr>
            <w:r>
              <w:rPr>
                <w:rFonts w:ascii="Arial" w:hAnsi="Arial" w:cs="Arial"/>
                <w:sz w:val="22"/>
                <w:szCs w:val="22"/>
              </w:rPr>
              <w:t>Endoscopy</w:t>
            </w:r>
          </w:p>
        </w:tc>
        <w:tc>
          <w:tcPr>
            <w:tcW w:w="1381" w:type="pct"/>
            <w:vAlign w:val="center"/>
          </w:tcPr>
          <w:p w:rsidR="006F33B5" w:rsidRPr="00C02421" w:rsidRDefault="006F33B5" w:rsidP="00504CB8">
            <w:pPr>
              <w:jc w:val="both"/>
              <w:rPr>
                <w:rFonts w:ascii="Arial" w:hAnsi="Arial" w:cs="Arial"/>
                <w:sz w:val="22"/>
                <w:szCs w:val="22"/>
              </w:rPr>
            </w:pPr>
          </w:p>
        </w:tc>
        <w:tc>
          <w:tcPr>
            <w:tcW w:w="1337" w:type="pct"/>
            <w:shd w:val="clear" w:color="auto" w:fill="auto"/>
            <w:vAlign w:val="center"/>
          </w:tcPr>
          <w:p w:rsidR="006F33B5" w:rsidRPr="00C02421" w:rsidRDefault="00E77B15" w:rsidP="00504CB8">
            <w:pPr>
              <w:jc w:val="both"/>
              <w:rPr>
                <w:rFonts w:ascii="Arial" w:hAnsi="Arial" w:cs="Arial"/>
                <w:sz w:val="22"/>
                <w:szCs w:val="22"/>
              </w:rPr>
            </w:pPr>
            <w:r>
              <w:rPr>
                <w:rFonts w:ascii="Arial" w:hAnsi="Arial" w:cs="Arial"/>
                <w:sz w:val="22"/>
                <w:szCs w:val="22"/>
              </w:rPr>
              <w:t>Research</w:t>
            </w:r>
          </w:p>
        </w:tc>
      </w:tr>
      <w:tr w:rsidR="006F33B5" w:rsidRPr="00C02421" w:rsidTr="006F33B5">
        <w:trPr>
          <w:trHeight w:val="472"/>
        </w:trPr>
        <w:tc>
          <w:tcPr>
            <w:tcW w:w="902" w:type="pct"/>
            <w:shd w:val="clear" w:color="auto" w:fill="auto"/>
            <w:vAlign w:val="center"/>
          </w:tcPr>
          <w:p w:rsidR="006F33B5" w:rsidRPr="00C02421" w:rsidRDefault="006F33B5" w:rsidP="00504CB8">
            <w:pPr>
              <w:jc w:val="both"/>
              <w:rPr>
                <w:rFonts w:ascii="Arial" w:hAnsi="Arial" w:cs="Arial"/>
                <w:b/>
                <w:sz w:val="22"/>
                <w:szCs w:val="22"/>
              </w:rPr>
            </w:pPr>
            <w:r w:rsidRPr="00C02421">
              <w:rPr>
                <w:rFonts w:ascii="Arial" w:hAnsi="Arial" w:cs="Arial"/>
                <w:b/>
                <w:sz w:val="22"/>
                <w:szCs w:val="22"/>
              </w:rPr>
              <w:t>Wednesday</w:t>
            </w:r>
          </w:p>
        </w:tc>
        <w:tc>
          <w:tcPr>
            <w:tcW w:w="1380" w:type="pct"/>
            <w:shd w:val="clear" w:color="auto" w:fill="auto"/>
            <w:vAlign w:val="center"/>
          </w:tcPr>
          <w:p w:rsidR="006F33B5" w:rsidRPr="00C02421" w:rsidRDefault="00E77B15" w:rsidP="00504CB8">
            <w:pPr>
              <w:jc w:val="both"/>
              <w:rPr>
                <w:rFonts w:ascii="Arial" w:hAnsi="Arial" w:cs="Arial"/>
                <w:sz w:val="22"/>
                <w:szCs w:val="22"/>
              </w:rPr>
            </w:pPr>
            <w:r>
              <w:rPr>
                <w:rFonts w:ascii="Arial" w:hAnsi="Arial" w:cs="Arial"/>
                <w:sz w:val="22"/>
                <w:szCs w:val="22"/>
              </w:rPr>
              <w:t>Research</w:t>
            </w:r>
          </w:p>
        </w:tc>
        <w:tc>
          <w:tcPr>
            <w:tcW w:w="1381" w:type="pct"/>
            <w:vAlign w:val="center"/>
          </w:tcPr>
          <w:p w:rsidR="006F33B5" w:rsidRPr="00C02421" w:rsidRDefault="006F33B5" w:rsidP="00504CB8">
            <w:pPr>
              <w:jc w:val="both"/>
              <w:rPr>
                <w:rFonts w:ascii="Arial" w:hAnsi="Arial" w:cs="Arial"/>
                <w:sz w:val="22"/>
                <w:szCs w:val="22"/>
              </w:rPr>
            </w:pPr>
          </w:p>
        </w:tc>
        <w:tc>
          <w:tcPr>
            <w:tcW w:w="1337" w:type="pct"/>
            <w:shd w:val="clear" w:color="auto" w:fill="auto"/>
            <w:vAlign w:val="center"/>
          </w:tcPr>
          <w:p w:rsidR="006F33B5" w:rsidRPr="00C02421" w:rsidRDefault="006F33B5" w:rsidP="00504CB8">
            <w:pPr>
              <w:jc w:val="both"/>
              <w:rPr>
                <w:rFonts w:ascii="Arial" w:hAnsi="Arial" w:cs="Arial"/>
                <w:sz w:val="22"/>
                <w:szCs w:val="22"/>
              </w:rPr>
            </w:pPr>
            <w:r w:rsidRPr="00C02421">
              <w:rPr>
                <w:rFonts w:ascii="Arial" w:hAnsi="Arial" w:cs="Arial"/>
                <w:sz w:val="22"/>
                <w:szCs w:val="22"/>
              </w:rPr>
              <w:t>Research</w:t>
            </w:r>
          </w:p>
        </w:tc>
      </w:tr>
      <w:tr w:rsidR="006F33B5" w:rsidRPr="00C02421" w:rsidTr="006F33B5">
        <w:trPr>
          <w:trHeight w:val="472"/>
        </w:trPr>
        <w:tc>
          <w:tcPr>
            <w:tcW w:w="902" w:type="pct"/>
            <w:shd w:val="clear" w:color="auto" w:fill="auto"/>
            <w:vAlign w:val="center"/>
          </w:tcPr>
          <w:p w:rsidR="006F33B5" w:rsidRPr="00C02421" w:rsidRDefault="006F33B5" w:rsidP="00504CB8">
            <w:pPr>
              <w:jc w:val="both"/>
              <w:rPr>
                <w:rFonts w:ascii="Arial" w:hAnsi="Arial" w:cs="Arial"/>
                <w:b/>
                <w:sz w:val="22"/>
                <w:szCs w:val="22"/>
              </w:rPr>
            </w:pPr>
            <w:r w:rsidRPr="00C02421">
              <w:rPr>
                <w:rFonts w:ascii="Arial" w:hAnsi="Arial" w:cs="Arial"/>
                <w:b/>
                <w:sz w:val="22"/>
                <w:szCs w:val="22"/>
              </w:rPr>
              <w:t>Thursday</w:t>
            </w:r>
          </w:p>
        </w:tc>
        <w:tc>
          <w:tcPr>
            <w:tcW w:w="1380" w:type="pct"/>
            <w:shd w:val="clear" w:color="auto" w:fill="auto"/>
            <w:vAlign w:val="center"/>
          </w:tcPr>
          <w:p w:rsidR="006F33B5" w:rsidRPr="00C02421" w:rsidRDefault="00E77B15" w:rsidP="00504CB8">
            <w:pPr>
              <w:jc w:val="both"/>
              <w:rPr>
                <w:rFonts w:ascii="Arial" w:hAnsi="Arial" w:cs="Arial"/>
                <w:sz w:val="22"/>
                <w:szCs w:val="22"/>
              </w:rPr>
            </w:pPr>
            <w:r>
              <w:rPr>
                <w:rFonts w:ascii="Arial" w:hAnsi="Arial" w:cs="Arial"/>
                <w:sz w:val="22"/>
                <w:szCs w:val="22"/>
              </w:rPr>
              <w:t>Research clinic</w:t>
            </w:r>
          </w:p>
        </w:tc>
        <w:tc>
          <w:tcPr>
            <w:tcW w:w="1381" w:type="pct"/>
            <w:vAlign w:val="center"/>
          </w:tcPr>
          <w:p w:rsidR="006F33B5" w:rsidRPr="00C02421" w:rsidRDefault="006F33B5" w:rsidP="00504CB8">
            <w:pPr>
              <w:jc w:val="both"/>
              <w:rPr>
                <w:rFonts w:ascii="Arial" w:hAnsi="Arial" w:cs="Arial"/>
                <w:sz w:val="22"/>
                <w:szCs w:val="22"/>
              </w:rPr>
            </w:pPr>
          </w:p>
        </w:tc>
        <w:tc>
          <w:tcPr>
            <w:tcW w:w="1337" w:type="pct"/>
            <w:shd w:val="clear" w:color="auto" w:fill="auto"/>
            <w:vAlign w:val="center"/>
          </w:tcPr>
          <w:p w:rsidR="006F33B5" w:rsidRPr="00C02421" w:rsidRDefault="00E77B15" w:rsidP="00504CB8">
            <w:pPr>
              <w:jc w:val="both"/>
              <w:rPr>
                <w:rFonts w:ascii="Arial" w:hAnsi="Arial" w:cs="Arial"/>
                <w:sz w:val="22"/>
                <w:szCs w:val="22"/>
              </w:rPr>
            </w:pPr>
            <w:r>
              <w:rPr>
                <w:rFonts w:ascii="Arial" w:hAnsi="Arial" w:cs="Arial"/>
                <w:sz w:val="22"/>
                <w:szCs w:val="22"/>
              </w:rPr>
              <w:t>R</w:t>
            </w:r>
            <w:r w:rsidR="00430DFD">
              <w:rPr>
                <w:rFonts w:ascii="Arial" w:hAnsi="Arial" w:cs="Arial"/>
                <w:sz w:val="22"/>
                <w:szCs w:val="22"/>
              </w:rPr>
              <w:t>e</w:t>
            </w:r>
            <w:r>
              <w:rPr>
                <w:rFonts w:ascii="Arial" w:hAnsi="Arial" w:cs="Arial"/>
                <w:sz w:val="22"/>
                <w:szCs w:val="22"/>
              </w:rPr>
              <w:t>search</w:t>
            </w:r>
          </w:p>
        </w:tc>
      </w:tr>
      <w:tr w:rsidR="006F33B5" w:rsidRPr="00C02421" w:rsidTr="006F33B5">
        <w:trPr>
          <w:trHeight w:val="472"/>
        </w:trPr>
        <w:tc>
          <w:tcPr>
            <w:tcW w:w="902" w:type="pct"/>
            <w:shd w:val="clear" w:color="auto" w:fill="auto"/>
            <w:vAlign w:val="center"/>
          </w:tcPr>
          <w:p w:rsidR="006F33B5" w:rsidRPr="00C02421" w:rsidRDefault="006F33B5" w:rsidP="00504CB8">
            <w:pPr>
              <w:jc w:val="both"/>
              <w:rPr>
                <w:rFonts w:ascii="Arial" w:hAnsi="Arial" w:cs="Arial"/>
                <w:b/>
                <w:sz w:val="22"/>
                <w:szCs w:val="22"/>
              </w:rPr>
            </w:pPr>
            <w:r w:rsidRPr="00C02421">
              <w:rPr>
                <w:rFonts w:ascii="Arial" w:hAnsi="Arial" w:cs="Arial"/>
                <w:b/>
                <w:sz w:val="22"/>
                <w:szCs w:val="22"/>
              </w:rPr>
              <w:t>Friday</w:t>
            </w:r>
          </w:p>
        </w:tc>
        <w:tc>
          <w:tcPr>
            <w:tcW w:w="1380" w:type="pct"/>
            <w:shd w:val="clear" w:color="auto" w:fill="auto"/>
            <w:vAlign w:val="center"/>
          </w:tcPr>
          <w:p w:rsidR="006F33B5" w:rsidRPr="00C02421" w:rsidRDefault="00E77B15" w:rsidP="00504CB8">
            <w:pPr>
              <w:jc w:val="both"/>
              <w:rPr>
                <w:rFonts w:ascii="Arial" w:hAnsi="Arial" w:cs="Arial"/>
                <w:sz w:val="22"/>
                <w:szCs w:val="22"/>
              </w:rPr>
            </w:pPr>
            <w:r>
              <w:rPr>
                <w:rFonts w:ascii="Arial" w:hAnsi="Arial" w:cs="Arial"/>
                <w:sz w:val="22"/>
                <w:szCs w:val="22"/>
              </w:rPr>
              <w:t>Clinic (JG)</w:t>
            </w:r>
          </w:p>
        </w:tc>
        <w:tc>
          <w:tcPr>
            <w:tcW w:w="1381" w:type="pct"/>
            <w:vAlign w:val="center"/>
          </w:tcPr>
          <w:p w:rsidR="006F33B5" w:rsidRPr="00C02421" w:rsidRDefault="006F33B5" w:rsidP="00504CB8">
            <w:pPr>
              <w:jc w:val="both"/>
              <w:rPr>
                <w:rFonts w:ascii="Arial" w:hAnsi="Arial" w:cs="Arial"/>
                <w:sz w:val="22"/>
                <w:szCs w:val="22"/>
              </w:rPr>
            </w:pPr>
          </w:p>
        </w:tc>
        <w:tc>
          <w:tcPr>
            <w:tcW w:w="1337" w:type="pct"/>
            <w:shd w:val="clear" w:color="auto" w:fill="auto"/>
            <w:vAlign w:val="center"/>
          </w:tcPr>
          <w:p w:rsidR="006F33B5" w:rsidRPr="00C02421" w:rsidRDefault="006F33B5" w:rsidP="00504CB8">
            <w:pPr>
              <w:jc w:val="both"/>
              <w:rPr>
                <w:rFonts w:ascii="Arial" w:hAnsi="Arial" w:cs="Arial"/>
                <w:sz w:val="22"/>
                <w:szCs w:val="22"/>
              </w:rPr>
            </w:pPr>
            <w:r w:rsidRPr="00C02421">
              <w:rPr>
                <w:rFonts w:ascii="Arial" w:hAnsi="Arial" w:cs="Arial"/>
                <w:sz w:val="22"/>
                <w:szCs w:val="22"/>
              </w:rPr>
              <w:t>MDT meeting</w:t>
            </w:r>
          </w:p>
        </w:tc>
      </w:tr>
    </w:tbl>
    <w:p w:rsidR="006F33B5" w:rsidRDefault="006F33B5" w:rsidP="006F33B5">
      <w:pPr>
        <w:jc w:val="both"/>
        <w:rPr>
          <w:rFonts w:ascii="Arial" w:hAnsi="Arial" w:cs="Arial"/>
          <w:b/>
          <w:sz w:val="22"/>
          <w:szCs w:val="22"/>
        </w:rPr>
      </w:pPr>
    </w:p>
    <w:p w:rsidR="006F33B5" w:rsidRDefault="003B66AB" w:rsidP="006F33B5">
      <w:pPr>
        <w:jc w:val="both"/>
        <w:rPr>
          <w:rFonts w:ascii="Arial" w:hAnsi="Arial" w:cs="Arial"/>
          <w:sz w:val="22"/>
          <w:szCs w:val="22"/>
        </w:rPr>
      </w:pPr>
      <w:r w:rsidRPr="003B66AB">
        <w:rPr>
          <w:rFonts w:ascii="Arial" w:hAnsi="Arial" w:cs="Arial"/>
          <w:sz w:val="22"/>
          <w:szCs w:val="22"/>
        </w:rPr>
        <w:t>PLEASE NOTE</w:t>
      </w:r>
    </w:p>
    <w:p w:rsidR="00E77B15" w:rsidRPr="003B66AB" w:rsidRDefault="00E77B15" w:rsidP="006F33B5">
      <w:pPr>
        <w:jc w:val="both"/>
        <w:rPr>
          <w:rFonts w:ascii="Arial" w:hAnsi="Arial" w:cs="Arial"/>
          <w:sz w:val="22"/>
          <w:szCs w:val="22"/>
        </w:rPr>
      </w:pPr>
    </w:p>
    <w:p w:rsidR="003B66AB" w:rsidRPr="003B66AB" w:rsidRDefault="003B66AB" w:rsidP="006F33B5">
      <w:pPr>
        <w:jc w:val="both"/>
        <w:rPr>
          <w:rFonts w:ascii="Arial" w:hAnsi="Arial" w:cs="Arial"/>
          <w:sz w:val="22"/>
          <w:szCs w:val="22"/>
        </w:rPr>
      </w:pPr>
      <w:r w:rsidRPr="003B66AB">
        <w:rPr>
          <w:rFonts w:ascii="Arial" w:hAnsi="Arial" w:cs="Arial"/>
          <w:sz w:val="22"/>
          <w:szCs w:val="22"/>
        </w:rPr>
        <w:t>Timetable above is intended to give an indication of likely mix of sessions in this post but is subject to change depending on needs of service.</w:t>
      </w:r>
    </w:p>
    <w:p w:rsidR="003B66AB" w:rsidRDefault="003B66AB" w:rsidP="006F33B5">
      <w:pPr>
        <w:jc w:val="both"/>
        <w:rPr>
          <w:rFonts w:ascii="Arial" w:hAnsi="Arial" w:cs="Arial"/>
          <w:b/>
          <w:sz w:val="22"/>
          <w:szCs w:val="22"/>
        </w:rPr>
      </w:pPr>
    </w:p>
    <w:p w:rsidR="003B66AB" w:rsidRDefault="003B66AB" w:rsidP="006F33B5">
      <w:pPr>
        <w:jc w:val="both"/>
        <w:rPr>
          <w:rFonts w:ascii="Arial" w:hAnsi="Arial" w:cs="Arial"/>
          <w:b/>
          <w:sz w:val="22"/>
          <w:szCs w:val="22"/>
        </w:rPr>
      </w:pPr>
    </w:p>
    <w:p w:rsidR="006F33B5" w:rsidRPr="008C2692" w:rsidRDefault="006F33B5" w:rsidP="006F33B5">
      <w:pPr>
        <w:pStyle w:val="Heading1"/>
        <w:rPr>
          <w:rFonts w:cs="Arial"/>
          <w:sz w:val="22"/>
          <w:szCs w:val="22"/>
          <w:u w:val="single"/>
        </w:rPr>
      </w:pPr>
      <w:r w:rsidRPr="008C2692">
        <w:rPr>
          <w:rFonts w:cs="Arial"/>
          <w:sz w:val="22"/>
          <w:szCs w:val="22"/>
          <w:u w:val="single"/>
        </w:rPr>
        <w:t>Main Conditions of Service</w:t>
      </w:r>
    </w:p>
    <w:p w:rsidR="006F33B5" w:rsidRPr="008C2692" w:rsidRDefault="006F33B5" w:rsidP="006F33B5">
      <w:pPr>
        <w:rPr>
          <w:rFonts w:ascii="Arial" w:hAnsi="Arial" w:cs="Arial"/>
          <w:sz w:val="22"/>
          <w:szCs w:val="22"/>
        </w:rPr>
      </w:pPr>
    </w:p>
    <w:p w:rsidR="003B66AB" w:rsidRDefault="003B66AB" w:rsidP="006F33B5">
      <w:pPr>
        <w:rPr>
          <w:rFonts w:ascii="Arial" w:hAnsi="Arial" w:cs="Arial"/>
          <w:sz w:val="22"/>
          <w:szCs w:val="22"/>
        </w:rPr>
      </w:pPr>
      <w:r>
        <w:rPr>
          <w:rFonts w:ascii="Arial" w:hAnsi="Arial" w:cs="Arial"/>
          <w:sz w:val="22"/>
          <w:szCs w:val="22"/>
        </w:rPr>
        <w:t>Grade:</w:t>
      </w:r>
      <w:r>
        <w:rPr>
          <w:rFonts w:ascii="Arial" w:hAnsi="Arial" w:cs="Arial"/>
          <w:sz w:val="22"/>
          <w:szCs w:val="22"/>
        </w:rPr>
        <w:tab/>
      </w:r>
      <w:r>
        <w:rPr>
          <w:rFonts w:ascii="Arial" w:hAnsi="Arial" w:cs="Arial"/>
          <w:sz w:val="22"/>
          <w:szCs w:val="22"/>
        </w:rPr>
        <w:tab/>
      </w:r>
      <w:r>
        <w:rPr>
          <w:rFonts w:ascii="Arial" w:hAnsi="Arial" w:cs="Arial"/>
          <w:sz w:val="22"/>
          <w:szCs w:val="22"/>
        </w:rPr>
        <w:tab/>
        <w:t>Trust Doctor Scale</w:t>
      </w:r>
    </w:p>
    <w:p w:rsidR="003B66AB" w:rsidRDefault="003B66AB" w:rsidP="006F33B5">
      <w:pPr>
        <w:rPr>
          <w:rFonts w:ascii="Arial" w:hAnsi="Arial" w:cs="Arial"/>
          <w:sz w:val="22"/>
          <w:szCs w:val="22"/>
        </w:rPr>
      </w:pPr>
    </w:p>
    <w:p w:rsidR="006F33B5" w:rsidRPr="008C2692" w:rsidRDefault="006F33B5" w:rsidP="006F33B5">
      <w:pPr>
        <w:rPr>
          <w:rFonts w:ascii="Arial" w:hAnsi="Arial" w:cs="Arial"/>
          <w:sz w:val="22"/>
          <w:szCs w:val="22"/>
        </w:rPr>
      </w:pPr>
      <w:r>
        <w:rPr>
          <w:rFonts w:ascii="Arial" w:hAnsi="Arial" w:cs="Arial"/>
          <w:sz w:val="22"/>
          <w:szCs w:val="22"/>
        </w:rPr>
        <w:t>Salary Scale:</w:t>
      </w:r>
      <w:r>
        <w:rPr>
          <w:rFonts w:ascii="Arial" w:hAnsi="Arial" w:cs="Arial"/>
          <w:sz w:val="22"/>
          <w:szCs w:val="22"/>
        </w:rPr>
        <w:tab/>
      </w:r>
      <w:r>
        <w:rPr>
          <w:rFonts w:ascii="Arial" w:hAnsi="Arial" w:cs="Arial"/>
          <w:sz w:val="22"/>
          <w:szCs w:val="22"/>
        </w:rPr>
        <w:tab/>
      </w:r>
      <w:r w:rsidR="003B66AB" w:rsidRPr="003B66AB">
        <w:rPr>
          <w:rFonts w:ascii="Arial" w:hAnsi="Arial" w:cs="Arial"/>
          <w:sz w:val="22"/>
          <w:szCs w:val="22"/>
        </w:rPr>
        <w:t>To be confirmed depending on experience</w:t>
      </w:r>
    </w:p>
    <w:p w:rsidR="006F33B5" w:rsidRPr="008C2692" w:rsidRDefault="006F33B5" w:rsidP="006F33B5">
      <w:pPr>
        <w:rPr>
          <w:rFonts w:ascii="Arial" w:hAnsi="Arial" w:cs="Arial"/>
          <w:sz w:val="22"/>
          <w:szCs w:val="22"/>
        </w:rPr>
      </w:pPr>
    </w:p>
    <w:p w:rsidR="006F33B5" w:rsidRPr="008C2692" w:rsidRDefault="006F33B5" w:rsidP="006F33B5">
      <w:pPr>
        <w:rPr>
          <w:rFonts w:ascii="Arial" w:hAnsi="Arial" w:cs="Arial"/>
          <w:sz w:val="22"/>
          <w:szCs w:val="22"/>
        </w:rPr>
      </w:pPr>
      <w:r w:rsidRPr="008C2692">
        <w:rPr>
          <w:rFonts w:ascii="Arial" w:hAnsi="Arial" w:cs="Arial"/>
          <w:sz w:val="22"/>
          <w:szCs w:val="22"/>
        </w:rPr>
        <w:t>Annual leave:</w:t>
      </w:r>
      <w:r w:rsidRPr="008C2692">
        <w:rPr>
          <w:rFonts w:ascii="Arial" w:hAnsi="Arial" w:cs="Arial"/>
          <w:sz w:val="22"/>
          <w:szCs w:val="22"/>
        </w:rPr>
        <w:tab/>
      </w:r>
      <w:r>
        <w:rPr>
          <w:rFonts w:ascii="Arial" w:hAnsi="Arial" w:cs="Arial"/>
          <w:sz w:val="22"/>
          <w:szCs w:val="22"/>
        </w:rPr>
        <w:tab/>
      </w:r>
      <w:r w:rsidR="001B354A">
        <w:rPr>
          <w:rFonts w:ascii="Arial" w:hAnsi="Arial" w:cs="Arial"/>
          <w:sz w:val="22"/>
          <w:szCs w:val="22"/>
        </w:rPr>
        <w:t xml:space="preserve">27 - </w:t>
      </w:r>
      <w:r>
        <w:rPr>
          <w:rFonts w:ascii="Arial" w:hAnsi="Arial" w:cs="Arial"/>
          <w:sz w:val="22"/>
          <w:szCs w:val="22"/>
        </w:rPr>
        <w:t>32 days (exclusive Bank Holidays)</w:t>
      </w:r>
    </w:p>
    <w:p w:rsidR="006F33B5" w:rsidRPr="008C2692" w:rsidRDefault="006F33B5" w:rsidP="006F33B5">
      <w:pPr>
        <w:rPr>
          <w:rFonts w:ascii="Arial" w:hAnsi="Arial" w:cs="Arial"/>
          <w:sz w:val="22"/>
          <w:szCs w:val="22"/>
        </w:rPr>
      </w:pPr>
    </w:p>
    <w:p w:rsidR="006F33B5" w:rsidRPr="008C2692" w:rsidRDefault="006F33B5" w:rsidP="006F33B5">
      <w:pPr>
        <w:rPr>
          <w:rFonts w:ascii="Arial" w:hAnsi="Arial" w:cs="Arial"/>
          <w:sz w:val="22"/>
          <w:szCs w:val="22"/>
        </w:rPr>
      </w:pPr>
      <w:r w:rsidRPr="008C2692">
        <w:rPr>
          <w:rFonts w:ascii="Arial" w:hAnsi="Arial" w:cs="Arial"/>
          <w:sz w:val="22"/>
          <w:szCs w:val="22"/>
        </w:rPr>
        <w:t>Study Leave:</w:t>
      </w:r>
      <w:r w:rsidRPr="008C2692">
        <w:rPr>
          <w:rFonts w:ascii="Arial" w:hAnsi="Arial" w:cs="Arial"/>
          <w:sz w:val="22"/>
          <w:szCs w:val="22"/>
        </w:rPr>
        <w:tab/>
      </w:r>
      <w:r w:rsidRPr="008C2692">
        <w:rPr>
          <w:rFonts w:ascii="Arial" w:hAnsi="Arial" w:cs="Arial"/>
          <w:sz w:val="22"/>
          <w:szCs w:val="22"/>
        </w:rPr>
        <w:tab/>
        <w:t>As agreed with the Lead Clinician</w:t>
      </w:r>
    </w:p>
    <w:p w:rsidR="006F33B5" w:rsidRDefault="006F33B5" w:rsidP="006F33B5">
      <w:pPr>
        <w:rPr>
          <w:rFonts w:ascii="Arial" w:hAnsi="Arial" w:cs="Arial"/>
          <w:sz w:val="22"/>
          <w:szCs w:val="22"/>
        </w:rPr>
      </w:pPr>
    </w:p>
    <w:p w:rsidR="006F33B5" w:rsidRPr="008C2692" w:rsidRDefault="006F33B5" w:rsidP="006F33B5">
      <w:pPr>
        <w:rPr>
          <w:rFonts w:ascii="Arial" w:hAnsi="Arial" w:cs="Arial"/>
          <w:sz w:val="22"/>
          <w:szCs w:val="22"/>
        </w:rPr>
      </w:pPr>
    </w:p>
    <w:p w:rsidR="006F33B5" w:rsidRPr="008C2692" w:rsidRDefault="006F33B5" w:rsidP="006F33B5">
      <w:pPr>
        <w:pStyle w:val="Heading1"/>
        <w:rPr>
          <w:rFonts w:cs="Arial"/>
          <w:sz w:val="22"/>
          <w:szCs w:val="22"/>
          <w:u w:val="single"/>
        </w:rPr>
      </w:pPr>
      <w:r w:rsidRPr="008C2692">
        <w:rPr>
          <w:rFonts w:cs="Arial"/>
          <w:sz w:val="22"/>
          <w:szCs w:val="22"/>
          <w:u w:val="single"/>
        </w:rPr>
        <w:t>Canvassing</w:t>
      </w:r>
    </w:p>
    <w:p w:rsidR="006F33B5" w:rsidRPr="008C2692" w:rsidRDefault="006F33B5" w:rsidP="006F33B5">
      <w:pPr>
        <w:rPr>
          <w:rFonts w:ascii="Arial" w:hAnsi="Arial" w:cs="Arial"/>
          <w:sz w:val="22"/>
          <w:szCs w:val="22"/>
        </w:rPr>
      </w:pPr>
    </w:p>
    <w:p w:rsidR="006F33B5" w:rsidRDefault="006F33B5" w:rsidP="006F33B5">
      <w:pPr>
        <w:pStyle w:val="BodyText"/>
        <w:jc w:val="both"/>
        <w:rPr>
          <w:rFonts w:ascii="Arial" w:hAnsi="Arial" w:cs="Arial"/>
          <w:sz w:val="22"/>
          <w:szCs w:val="22"/>
        </w:rPr>
      </w:pPr>
      <w:r w:rsidRPr="008C2692">
        <w:rPr>
          <w:rFonts w:ascii="Arial" w:hAnsi="Arial" w:cs="Arial"/>
          <w:sz w:val="22"/>
          <w:szCs w:val="22"/>
        </w:rPr>
        <w:t>Candidates are asked to note that canvassing of any member of the Advisory Appointments Committee will disqualify (see Statutory Instrument 1982 No. 276 paragraph 8 (1)(b)).  This should not deter candidates from seeking further information relevant to</w:t>
      </w:r>
      <w:r>
        <w:rPr>
          <w:rFonts w:ascii="Arial" w:hAnsi="Arial" w:cs="Arial"/>
          <w:sz w:val="22"/>
          <w:szCs w:val="22"/>
        </w:rPr>
        <w:t xml:space="preserve"> the</w:t>
      </w:r>
      <w:r w:rsidRPr="008C2692">
        <w:rPr>
          <w:rFonts w:ascii="Arial" w:hAnsi="Arial" w:cs="Arial"/>
          <w:sz w:val="22"/>
          <w:szCs w:val="22"/>
        </w:rPr>
        <w:t xml:space="preserve"> post from those members of the Trust detailed below and, further this should not deter candidates from making informal visits to the Trust which are encouraged.</w:t>
      </w:r>
    </w:p>
    <w:p w:rsidR="006F33B5" w:rsidRDefault="006F33B5" w:rsidP="006F33B5">
      <w:pPr>
        <w:pStyle w:val="BodyText"/>
        <w:jc w:val="both"/>
        <w:rPr>
          <w:rFonts w:ascii="Arial" w:hAnsi="Arial" w:cs="Arial"/>
          <w:sz w:val="22"/>
          <w:szCs w:val="22"/>
        </w:rPr>
      </w:pPr>
    </w:p>
    <w:p w:rsidR="006F33B5" w:rsidRPr="008C2692" w:rsidRDefault="006F33B5" w:rsidP="006F33B5">
      <w:pPr>
        <w:pStyle w:val="Heading1"/>
        <w:rPr>
          <w:rFonts w:cs="Arial"/>
          <w:sz w:val="22"/>
          <w:szCs w:val="22"/>
          <w:u w:val="single"/>
        </w:rPr>
      </w:pPr>
      <w:r w:rsidRPr="008C2692">
        <w:rPr>
          <w:rFonts w:cs="Arial"/>
          <w:sz w:val="22"/>
          <w:szCs w:val="22"/>
          <w:u w:val="single"/>
        </w:rPr>
        <w:t>Access to Children</w:t>
      </w:r>
    </w:p>
    <w:p w:rsidR="006F33B5" w:rsidRPr="008C2692" w:rsidRDefault="006F33B5" w:rsidP="006F33B5">
      <w:pPr>
        <w:rPr>
          <w:rFonts w:ascii="Arial" w:hAnsi="Arial" w:cs="Arial"/>
          <w:sz w:val="22"/>
          <w:szCs w:val="22"/>
        </w:rPr>
      </w:pPr>
    </w:p>
    <w:p w:rsidR="006F33B5" w:rsidRPr="008C2692" w:rsidRDefault="006F33B5" w:rsidP="006F33B5">
      <w:pPr>
        <w:pStyle w:val="BodyText"/>
        <w:jc w:val="both"/>
        <w:rPr>
          <w:rFonts w:ascii="Arial" w:hAnsi="Arial" w:cs="Arial"/>
          <w:sz w:val="22"/>
          <w:szCs w:val="22"/>
        </w:rPr>
      </w:pPr>
      <w:r w:rsidRPr="008C2692">
        <w:rPr>
          <w:rFonts w:ascii="Arial" w:hAnsi="Arial" w:cs="Arial"/>
          <w:sz w:val="22"/>
          <w:szCs w:val="22"/>
        </w:rPr>
        <w:t>The person appointed to this post may have access to children, under the provisions of Joint Circular No. HS (88) 9 HOC8/88 WHC (88)10.  Applicants are therefore advised that in the event that your appointment is recommended you will be asked to complete a form disclosing any convictions, bind-over orders or cautions and to give permission in writing for a policy check to be carried out.  Refusal to do so could prevent further consideration of the application.  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be taken into account in deciding whether to engage an applicant.</w:t>
      </w:r>
    </w:p>
    <w:p w:rsidR="006F33B5" w:rsidRDefault="006F33B5" w:rsidP="006F33B5">
      <w:pPr>
        <w:rPr>
          <w:rFonts w:ascii="Arial" w:hAnsi="Arial" w:cs="Arial"/>
          <w:sz w:val="22"/>
          <w:szCs w:val="22"/>
        </w:rPr>
      </w:pPr>
    </w:p>
    <w:p w:rsidR="003B66AB" w:rsidRPr="008C2692" w:rsidRDefault="003B66AB" w:rsidP="006F33B5">
      <w:pPr>
        <w:rPr>
          <w:rFonts w:ascii="Arial" w:hAnsi="Arial" w:cs="Arial"/>
          <w:sz w:val="22"/>
          <w:szCs w:val="22"/>
        </w:rPr>
      </w:pPr>
    </w:p>
    <w:p w:rsidR="006F33B5" w:rsidRDefault="006F33B5" w:rsidP="006F33B5">
      <w:pPr>
        <w:pStyle w:val="Heading1"/>
        <w:rPr>
          <w:rFonts w:cs="Arial"/>
          <w:sz w:val="22"/>
          <w:szCs w:val="22"/>
          <w:u w:val="single"/>
        </w:rPr>
      </w:pPr>
      <w:r w:rsidRPr="008C2692">
        <w:rPr>
          <w:rFonts w:cs="Arial"/>
          <w:sz w:val="22"/>
          <w:szCs w:val="22"/>
          <w:u w:val="single"/>
        </w:rPr>
        <w:lastRenderedPageBreak/>
        <w:t>Rehabilitation of Offenders</w:t>
      </w:r>
    </w:p>
    <w:p w:rsidR="003B66AB" w:rsidRPr="003B66AB" w:rsidRDefault="003B66AB" w:rsidP="003B66AB"/>
    <w:p w:rsidR="006F33B5" w:rsidRPr="008C2692" w:rsidRDefault="006F33B5" w:rsidP="006F33B5">
      <w:pPr>
        <w:pStyle w:val="BodyText"/>
        <w:jc w:val="both"/>
        <w:rPr>
          <w:rFonts w:ascii="Arial" w:hAnsi="Arial" w:cs="Arial"/>
          <w:sz w:val="22"/>
          <w:szCs w:val="22"/>
        </w:rPr>
      </w:pPr>
      <w:r w:rsidRPr="008C2692">
        <w:rPr>
          <w:rFonts w:ascii="Arial" w:hAnsi="Arial" w:cs="Arial"/>
          <w:sz w:val="22"/>
          <w:szCs w:val="22"/>
        </w:rPr>
        <w:t>This post is not protected by the Rehabilitation of Offenders Act 1974.  You must disclose all information about all convictions (if any) in a court of law, no matter when they occurred.  This information will be treated in the strictest of confidence.</w:t>
      </w:r>
    </w:p>
    <w:p w:rsidR="006F33B5" w:rsidRPr="008C2692" w:rsidRDefault="006F33B5" w:rsidP="006F33B5">
      <w:pPr>
        <w:rPr>
          <w:rFonts w:ascii="Arial" w:hAnsi="Arial" w:cs="Arial"/>
          <w:sz w:val="22"/>
          <w:szCs w:val="22"/>
        </w:rPr>
      </w:pPr>
    </w:p>
    <w:p w:rsidR="006F33B5" w:rsidRPr="008C2692" w:rsidRDefault="006F33B5" w:rsidP="006F33B5">
      <w:pPr>
        <w:pStyle w:val="Heading1"/>
        <w:rPr>
          <w:rFonts w:cs="Arial"/>
          <w:sz w:val="22"/>
          <w:szCs w:val="22"/>
          <w:u w:val="single"/>
        </w:rPr>
      </w:pPr>
      <w:r w:rsidRPr="008C2692">
        <w:rPr>
          <w:rFonts w:cs="Arial"/>
          <w:sz w:val="22"/>
          <w:szCs w:val="22"/>
          <w:u w:val="single"/>
        </w:rPr>
        <w:t>Data Protection Act 1998</w:t>
      </w:r>
    </w:p>
    <w:p w:rsidR="006F33B5" w:rsidRPr="008C2692" w:rsidRDefault="006F33B5" w:rsidP="006F33B5">
      <w:pPr>
        <w:rPr>
          <w:rFonts w:ascii="Arial" w:hAnsi="Arial" w:cs="Arial"/>
          <w:sz w:val="22"/>
          <w:szCs w:val="22"/>
        </w:rPr>
      </w:pPr>
    </w:p>
    <w:p w:rsidR="006F33B5" w:rsidRPr="008C2692" w:rsidRDefault="006F33B5" w:rsidP="006F33B5">
      <w:pPr>
        <w:pStyle w:val="BodyText"/>
        <w:jc w:val="both"/>
        <w:rPr>
          <w:rFonts w:ascii="Arial" w:hAnsi="Arial" w:cs="Arial"/>
          <w:sz w:val="22"/>
          <w:szCs w:val="22"/>
        </w:rPr>
      </w:pPr>
      <w:r w:rsidRPr="008C2692">
        <w:rPr>
          <w:rFonts w:ascii="Arial" w:hAnsi="Arial" w:cs="Arial"/>
          <w:sz w:val="22"/>
          <w:szCs w:val="22"/>
        </w:rPr>
        <w:t>Candidates are informed that the information given by them in application for the post will be used only for the recruitment and selection purposes.  For successful candidates this will then form part of their personal file, and for unsuccessful candidates the information will be destroyed.  The information is stored both in hard copy and minimally on a database.  This information is held and administered in line with the Data Protection Act and the Trust’s confidentiality procedure.</w:t>
      </w:r>
    </w:p>
    <w:p w:rsidR="006F33B5" w:rsidRPr="008C2692" w:rsidRDefault="006F33B5" w:rsidP="006F33B5">
      <w:pPr>
        <w:rPr>
          <w:rFonts w:ascii="Arial" w:hAnsi="Arial" w:cs="Arial"/>
          <w:sz w:val="22"/>
          <w:szCs w:val="22"/>
        </w:rPr>
      </w:pPr>
    </w:p>
    <w:p w:rsidR="006F33B5" w:rsidRDefault="006F33B5" w:rsidP="006F33B5">
      <w:pPr>
        <w:pStyle w:val="Heading1"/>
        <w:rPr>
          <w:rFonts w:cs="Arial"/>
          <w:sz w:val="22"/>
          <w:szCs w:val="22"/>
          <w:u w:val="single"/>
        </w:rPr>
      </w:pPr>
      <w:r w:rsidRPr="008C2692">
        <w:rPr>
          <w:rFonts w:cs="Arial"/>
          <w:sz w:val="22"/>
          <w:szCs w:val="22"/>
          <w:u w:val="single"/>
        </w:rPr>
        <w:t>Further Information</w:t>
      </w:r>
    </w:p>
    <w:p w:rsidR="006F33B5" w:rsidRDefault="006F33B5" w:rsidP="006F33B5"/>
    <w:p w:rsidR="006F33B5" w:rsidRPr="008C2692" w:rsidRDefault="006F33B5" w:rsidP="006F33B5">
      <w:pPr>
        <w:jc w:val="both"/>
        <w:rPr>
          <w:rFonts w:ascii="Arial" w:hAnsi="Arial" w:cs="Arial"/>
          <w:sz w:val="22"/>
          <w:szCs w:val="22"/>
        </w:rPr>
      </w:pPr>
      <w:bookmarkStart w:id="0" w:name="_GoBack"/>
      <w:r>
        <w:rPr>
          <w:rFonts w:ascii="Arial" w:hAnsi="Arial" w:cs="Arial"/>
          <w:sz w:val="22"/>
          <w:szCs w:val="22"/>
        </w:rPr>
        <w:t xml:space="preserve">For further information about the post please contact Dr </w:t>
      </w:r>
      <w:r w:rsidR="00E77B15">
        <w:rPr>
          <w:rFonts w:ascii="Arial" w:hAnsi="Arial" w:cs="Arial"/>
          <w:sz w:val="22"/>
          <w:szCs w:val="22"/>
        </w:rPr>
        <w:t xml:space="preserve">Tariq Ahmad on 01392 406220 or via email </w:t>
      </w:r>
      <w:hyperlink r:id="rId5" w:history="1">
        <w:r w:rsidR="00E77B15" w:rsidRPr="006B28B1">
          <w:rPr>
            <w:rStyle w:val="Hyperlink"/>
            <w:rFonts w:ascii="Arial" w:hAnsi="Arial" w:cs="Arial"/>
            <w:sz w:val="22"/>
            <w:szCs w:val="22"/>
          </w:rPr>
          <w:t>tariq.ahmad1@nhs.net</w:t>
        </w:r>
      </w:hyperlink>
      <w:r w:rsidR="00E77B15">
        <w:rPr>
          <w:rFonts w:ascii="Arial" w:hAnsi="Arial" w:cs="Arial"/>
          <w:sz w:val="22"/>
          <w:szCs w:val="22"/>
        </w:rPr>
        <w:t xml:space="preserve"> </w:t>
      </w:r>
    </w:p>
    <w:bookmarkEnd w:id="0"/>
    <w:p w:rsidR="006F33B5" w:rsidRPr="008C2692" w:rsidRDefault="006F33B5" w:rsidP="006F33B5">
      <w:pPr>
        <w:jc w:val="both"/>
        <w:rPr>
          <w:rFonts w:ascii="Arial" w:hAnsi="Arial"/>
          <w:sz w:val="22"/>
          <w:szCs w:val="22"/>
        </w:rPr>
      </w:pPr>
    </w:p>
    <w:p w:rsidR="006F33B5" w:rsidRPr="008C2692" w:rsidRDefault="006F33B5" w:rsidP="006F33B5">
      <w:pPr>
        <w:rPr>
          <w:rFonts w:ascii="Arial" w:hAnsi="Arial"/>
          <w:sz w:val="22"/>
          <w:szCs w:val="22"/>
        </w:rPr>
      </w:pPr>
    </w:p>
    <w:p w:rsidR="006F33B5" w:rsidRPr="008C2692" w:rsidRDefault="006F33B5" w:rsidP="006F33B5">
      <w:pPr>
        <w:rPr>
          <w:sz w:val="22"/>
          <w:szCs w:val="22"/>
        </w:rPr>
      </w:pPr>
    </w:p>
    <w:p w:rsidR="006F33B5" w:rsidRPr="008C2692" w:rsidRDefault="006F33B5" w:rsidP="006F33B5">
      <w:pPr>
        <w:pStyle w:val="BodyText"/>
        <w:jc w:val="both"/>
        <w:rPr>
          <w:rFonts w:ascii="Arial" w:hAnsi="Arial" w:cs="Arial"/>
          <w:sz w:val="22"/>
          <w:szCs w:val="22"/>
        </w:rPr>
      </w:pPr>
    </w:p>
    <w:p w:rsidR="006F33B5" w:rsidRPr="00F639E1" w:rsidRDefault="006F33B5" w:rsidP="006F33B5">
      <w:pPr>
        <w:jc w:val="both"/>
        <w:rPr>
          <w:rFonts w:ascii="Arial" w:hAnsi="Arial" w:cs="Arial"/>
          <w:b/>
          <w:sz w:val="22"/>
          <w:szCs w:val="22"/>
        </w:rPr>
      </w:pPr>
    </w:p>
    <w:sectPr w:rsidR="006F33B5" w:rsidRPr="00F639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9E1"/>
    <w:rsid w:val="000537DB"/>
    <w:rsid w:val="001B354A"/>
    <w:rsid w:val="00233ED0"/>
    <w:rsid w:val="003B66AB"/>
    <w:rsid w:val="003E1E34"/>
    <w:rsid w:val="003F0B27"/>
    <w:rsid w:val="00430DFD"/>
    <w:rsid w:val="004D0D14"/>
    <w:rsid w:val="006F33B5"/>
    <w:rsid w:val="00A65E1A"/>
    <w:rsid w:val="00DB3178"/>
    <w:rsid w:val="00E77B15"/>
    <w:rsid w:val="00EE50E0"/>
    <w:rsid w:val="00F63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100DC21"/>
  <w15:chartTrackingRefBased/>
  <w15:docId w15:val="{AF313631-ED8A-4F4B-9984-5D32CEC98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9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F33B5"/>
    <w:pPr>
      <w:keepNext/>
      <w:outlineLvl w:val="0"/>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2">
    <w:name w:val="header2"/>
    <w:rsid w:val="00F639E1"/>
    <w:pPr>
      <w:keepNext/>
      <w:spacing w:after="0" w:line="240" w:lineRule="auto"/>
    </w:pPr>
    <w:rPr>
      <w:rFonts w:ascii="Arial" w:eastAsia="Times New Roman" w:hAnsi="Arial" w:cs="Arial"/>
      <w:b/>
      <w:bCs/>
      <w:color w:val="000000"/>
      <w:kern w:val="28"/>
      <w:sz w:val="24"/>
      <w:szCs w:val="24"/>
      <w:u w:val="single"/>
    </w:rPr>
  </w:style>
  <w:style w:type="paragraph" w:customStyle="1" w:styleId="body">
    <w:name w:val="body"/>
    <w:rsid w:val="00F639E1"/>
    <w:pPr>
      <w:widowControl w:val="0"/>
      <w:spacing w:after="0" w:line="240" w:lineRule="auto"/>
    </w:pPr>
    <w:rPr>
      <w:rFonts w:ascii="Arial" w:eastAsia="Times New Roman" w:hAnsi="Arial" w:cs="Arial"/>
      <w:color w:val="000000"/>
      <w:kern w:val="28"/>
      <w:sz w:val="20"/>
      <w:szCs w:val="20"/>
    </w:rPr>
  </w:style>
  <w:style w:type="character" w:styleId="Hyperlink">
    <w:name w:val="Hyperlink"/>
    <w:basedOn w:val="DefaultParagraphFont"/>
    <w:uiPriority w:val="99"/>
    <w:unhideWhenUsed/>
    <w:rsid w:val="00F639E1"/>
    <w:rPr>
      <w:color w:val="0000FF" w:themeColor="hyperlink"/>
      <w:u w:val="single"/>
    </w:rPr>
  </w:style>
  <w:style w:type="character" w:styleId="UnresolvedMention">
    <w:name w:val="Unresolved Mention"/>
    <w:basedOn w:val="DefaultParagraphFont"/>
    <w:uiPriority w:val="99"/>
    <w:semiHidden/>
    <w:unhideWhenUsed/>
    <w:rsid w:val="00F639E1"/>
    <w:rPr>
      <w:color w:val="605E5C"/>
      <w:shd w:val="clear" w:color="auto" w:fill="E1DFDD"/>
    </w:rPr>
  </w:style>
  <w:style w:type="paragraph" w:styleId="BodyText">
    <w:name w:val="Body Text"/>
    <w:basedOn w:val="Normal"/>
    <w:link w:val="BodyTextChar"/>
    <w:rsid w:val="006F33B5"/>
    <w:pPr>
      <w:spacing w:after="120"/>
    </w:pPr>
  </w:style>
  <w:style w:type="character" w:customStyle="1" w:styleId="BodyTextChar">
    <w:name w:val="Body Text Char"/>
    <w:basedOn w:val="DefaultParagraphFont"/>
    <w:link w:val="BodyText"/>
    <w:rsid w:val="006F33B5"/>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6F33B5"/>
    <w:rPr>
      <w:rFonts w:ascii="Arial" w:eastAsia="Times New Roman" w:hAnsi="Arial" w:cs="Times New Roman"/>
      <w:b/>
      <w:bCs/>
      <w:sz w:val="24"/>
      <w:szCs w:val="24"/>
    </w:rPr>
  </w:style>
  <w:style w:type="paragraph" w:customStyle="1" w:styleId="Default">
    <w:name w:val="Default"/>
    <w:rsid w:val="00E77B1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ariq.ahmad1@nhs.net" TargetMode="External"/><Relationship Id="rId4" Type="http://schemas.openxmlformats.org/officeDocument/2006/relationships/hyperlink" Target="http://www.royaldevon.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1719</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ODY, Rebecca (ROYAL DEVON UNIVERSITY HEALTHCARE NHS FOUNDATION TRUST)</dc:creator>
  <cp:keywords/>
  <dc:description/>
  <cp:lastModifiedBy>BURROWS SMITH, Libby (ROYAL DEVON UNIVERSITY HEALTHCARE NHS FOUNDATION TRUST)</cp:lastModifiedBy>
  <cp:revision>8</cp:revision>
  <dcterms:created xsi:type="dcterms:W3CDTF">2024-05-20T09:34:00Z</dcterms:created>
  <dcterms:modified xsi:type="dcterms:W3CDTF">2024-05-28T13:23:00Z</dcterms:modified>
</cp:coreProperties>
</file>