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Clinical Nurse Specialist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Lead nurse for enhanced supportive care team</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The post holder is required to deal effectively with staff of all levels throughout the Trust as and when they encounter on a day to day basis (Delete/amend as necessary)</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lastRenderedPageBreak/>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In conjunction with the wider MDT be a core member of the Enhanced Supportive Care team</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establish close working links with the tumour specific MDT’s and oncology/haematology teams to ensure appropriate referrals to the Enhanced Supportive Care service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present complex patient cases for discussion at the ESC MDT 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support tumour specific Clinical Nurse Specialists and oncology/haematology teams in the management of Enhanced Supportive Care patients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The post holder has the skills and knowledge to be able to clinically assess, reason and order relevant investigations and be able to implement care to patients with advanced cancer,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Assists with Enhanced Supportive Care nurse-led clinics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lastRenderedPageBreak/>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tumour specific teams, including CNS’s, Oncologists, Haematologists, Surgeons to ensure appropriate care for patients with advanced cancer</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In collaboration with senior healthcare professionals identify the supportive and palliative/end of life care 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Contribute to the development, provision and evaluation of supportive and palliative/end of life 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Identify own educational and training needs in relation to supportive and palliative care and enhanced supportive 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Utilise the outcomes of research evidence and reflective practice to inform and influence own practice and that of others, promoting excellence in palliative/end of life care.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Empowers staff to develop their skills to provide the care required to meet the needs of advanced cancer patients</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 resource for the Trust in Enhanced Supportive Care nursing and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 xml:space="preserve">Critically analyse current research to actively promote and utilise </w:t>
            </w:r>
            <w:proofErr w:type="gramStart"/>
            <w:r w:rsidRPr="00497A17">
              <w:rPr>
                <w:rFonts w:ascii="Arial" w:eastAsia="Calibri" w:hAnsi="Arial" w:cs="Arial"/>
              </w:rPr>
              <w:t>evidence based</w:t>
            </w:r>
            <w:proofErr w:type="gramEnd"/>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Networks with Enhanced Supportive Care teams 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Maintains a high level of awareness of relevant research, issues and trends within advanced cancer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Liaises with the team of clinical nurse specialists within the Royal Devon and Exeter NHS Foundation Trust to evaluate, develop and promote the Enhanced Supportive Care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clinical competencies for senior experienced registered practitioner and </w:t>
            </w:r>
            <w:proofErr w:type="gramStart"/>
            <w:r w:rsidRPr="00497A17">
              <w:rPr>
                <w:rFonts w:ascii="Arial" w:eastAsia="Calibri" w:hAnsi="Arial" w:cs="Arial"/>
              </w:rPr>
              <w:t>higher level</w:t>
            </w:r>
            <w:proofErr w:type="gramEnd"/>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Assists with the development of standards and clinical protocols for Enhanced Supportive Care</w:t>
            </w:r>
          </w:p>
          <w:p w:rsidR="00497A17" w:rsidRPr="00497A17" w:rsidRDefault="00497A17" w:rsidP="00497A17">
            <w:pPr>
              <w:rPr>
                <w:rFonts w:ascii="Calibri" w:eastAsia="Calibri" w:hAnsi="Calibri" w:cs="Arial"/>
              </w:rPr>
            </w:pPr>
          </w:p>
          <w:p w:rsidR="00497A17" w:rsidRPr="00497A17" w:rsidRDefault="00497A17" w:rsidP="00497A17">
            <w:pPr>
              <w:numPr>
                <w:ilvl w:val="0"/>
                <w:numId w:val="11"/>
              </w:numPr>
              <w:rPr>
                <w:rFonts w:ascii="Arial" w:eastAsia="Times New Roman" w:hAnsi="Arial" w:cs="Arial"/>
                <w:szCs w:val="24"/>
                <w:lang w:eastAsia="en-GB"/>
              </w:rPr>
            </w:pPr>
            <w:r w:rsidRPr="00497A17">
              <w:rPr>
                <w:rFonts w:ascii="Arial" w:eastAsia="Times New Roman" w:hAnsi="Arial" w:cs="Arial"/>
                <w:szCs w:val="24"/>
                <w:lang w:eastAsia="en-GB"/>
              </w:rPr>
              <w:t>Ensure robust data collection processes, alongside the MDT coordinator and Lead Enhanced Supportive Care CNS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 xml:space="preserve">To ensure patient centred management is delivered by the Oncology,    </w:t>
            </w:r>
          </w:p>
          <w:p w:rsidR="00497A17" w:rsidRPr="00497A17" w:rsidRDefault="00497A17" w:rsidP="00497A17">
            <w:pPr>
              <w:ind w:left="426"/>
              <w:rPr>
                <w:rFonts w:ascii="Arial" w:eastAsia="Calibri" w:hAnsi="Arial" w:cs="Arial"/>
                <w:color w:val="000000"/>
                <w:szCs w:val="24"/>
              </w:rPr>
            </w:pPr>
            <w:r w:rsidRPr="00497A17">
              <w:rPr>
                <w:rFonts w:ascii="Arial" w:eastAsia="Calibri" w:hAnsi="Arial" w:cs="Arial"/>
                <w:color w:val="000000"/>
                <w:szCs w:val="24"/>
              </w:rPr>
              <w:t xml:space="preserve">Haematology and supportive and palliative care team for in patient and </w:t>
            </w:r>
            <w:proofErr w:type="spellStart"/>
            <w:r w:rsidRPr="00497A17">
              <w:rPr>
                <w:rFonts w:ascii="Arial" w:eastAsia="Calibri" w:hAnsi="Arial" w:cs="Arial"/>
                <w:color w:val="000000"/>
                <w:szCs w:val="24"/>
              </w:rPr>
              <w:t>out patient</w:t>
            </w:r>
            <w:proofErr w:type="spellEnd"/>
            <w:r w:rsidRPr="00497A17">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ESC </w:t>
            </w:r>
            <w:r w:rsidRPr="00497A17">
              <w:rPr>
                <w:rFonts w:ascii="Arial" w:eastAsia="Calibri" w:hAnsi="Arial" w:cs="Arial"/>
                <w:color w:val="000000"/>
                <w:szCs w:val="24"/>
              </w:rPr>
              <w:t>consultant,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and oncologist/haematologist.</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Review MDT data and make a judgement on suitability for Enhanced supportive care amidst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lastRenderedPageBreak/>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P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Other Specialist Palliative Care providers</w:t>
                  </w:r>
                </w:p>
                <w:p w:rsidR="002407B0" w:rsidRPr="002407B0" w:rsidRDefault="002407B0" w:rsidP="002407B0">
                  <w:pPr>
                    <w:tabs>
                      <w:tab w:val="left" w:pos="1134"/>
                    </w:tabs>
                    <w:spacing w:after="0" w:line="240" w:lineRule="auto"/>
                    <w:ind w:left="720"/>
                    <w:rPr>
                      <w:rFonts w:ascii="Arial" w:eastAsia="Calibri" w:hAnsi="Arial" w:cs="Arial"/>
                      <w:szCs w:val="24"/>
                    </w:rPr>
                  </w:pP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7558" y="-457"/>
                      <wp:lineTo x="7558" y="5257"/>
                      <wp:lineTo x="8864" y="7314"/>
                      <wp:lineTo x="3546" y="7543"/>
                      <wp:lineTo x="3546" y="13486"/>
                      <wp:lineTo x="5692" y="14629"/>
                      <wp:lineTo x="7558" y="15543"/>
                      <wp:lineTo x="7558" y="21486"/>
                      <wp:lineTo x="12503" y="21486"/>
                      <wp:lineTo x="12689" y="16000"/>
                      <wp:lineTo x="10263" y="14629"/>
                      <wp:lineTo x="10357" y="7314"/>
                      <wp:lineTo x="13622" y="7314"/>
                      <wp:lineTo x="18194" y="5257"/>
                      <wp:lineTo x="18101" y="-457"/>
                      <wp:lineTo x="755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strike/>
              </w:rPr>
            </w:pPr>
            <w:r w:rsidRPr="00497A17">
              <w:rPr>
                <w:rFonts w:ascii="Arial" w:eastAsia="Times New Roman" w:hAnsi="Arial" w:cs="Times New Roman"/>
                <w:strike/>
              </w:rPr>
              <w:t xml:space="preserve">Day to day management of Nurse Specialists and Support Nurses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lastRenderedPageBreak/>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Work with patients/service users and carers who have a 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High level of mental effort when </w:t>
            </w:r>
            <w:r w:rsidRPr="00497A17">
              <w:rPr>
                <w:rFonts w:ascii="Arial" w:eastAsia="Times New Roman" w:hAnsi="Arial" w:cs="Arial"/>
                <w:strike/>
              </w:rPr>
              <w:t>managing rosters</w:t>
            </w:r>
            <w:r w:rsidRPr="00497A17">
              <w:rPr>
                <w:rFonts w:ascii="Arial" w:eastAsia="Times New Roman" w:hAnsi="Arial" w:cs="Arial"/>
              </w:rPr>
              <w:t xml:space="preserve"> and staffing concerns</w:t>
            </w:r>
          </w:p>
          <w:p w:rsidR="00497A17" w:rsidRPr="00497A17" w:rsidRDefault="00497A17" w:rsidP="00497A17">
            <w:pPr>
              <w:spacing w:before="200"/>
              <w:jc w:val="both"/>
              <w:rPr>
                <w:rFonts w:ascii="Arial" w:eastAsia="Times New Roman" w:hAnsi="Arial" w:cs="Arial"/>
                <w:strike/>
              </w:rPr>
            </w:pPr>
            <w:r w:rsidRPr="00497A17">
              <w:rPr>
                <w:rFonts w:ascii="Arial" w:eastAsia="Times New Roman" w:hAnsi="Arial" w:cs="Arial"/>
                <w:strike/>
              </w:rPr>
              <w:t>Provide leadership and support to nursing team and deal with poor performance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Pr="00990E9E">
              <w:rPr>
                <w:rFonts w:ascii="Arial" w:eastAsia="Times New Roman" w:hAnsi="Arial" w:cs="Times New Roman"/>
                <w:strike/>
              </w:rPr>
              <w:t>cytotoxic drugs</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6E657B"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bookmarkStart w:id="0" w:name="_GoBack"/>
            <w:bookmarkEnd w:id="0"/>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6E657B" w:rsidP="00497A17">
            <w:pPr>
              <w:jc w:val="both"/>
              <w:rPr>
                <w:rFonts w:ascii="Arial" w:eastAsia="Calibri" w:hAnsi="Arial" w:cs="Arial"/>
              </w:rPr>
            </w:pPr>
            <w:r>
              <w:rPr>
                <w:rFonts w:ascii="Arial" w:eastAsia="Calibri" w:hAnsi="Arial" w:cs="Arial"/>
              </w:rPr>
              <w:t>D</w:t>
            </w: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6E657B" w:rsidP="00497A17">
            <w:pPr>
              <w:jc w:val="both"/>
              <w:rPr>
                <w:rFonts w:ascii="Arial" w:eastAsia="Calibri" w:hAnsi="Arial" w:cs="Arial"/>
              </w:rPr>
            </w:pPr>
            <w:r>
              <w:rPr>
                <w:rFonts w:ascii="Arial" w:eastAsia="Calibri" w:hAnsi="Arial" w:cs="Arial"/>
              </w:rPr>
              <w:t>D</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(oncology and palliative medicine)</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r w:rsidRPr="00497A17">
              <w:rPr>
                <w:rFonts w:ascii="Arial" w:eastAsia="Times New Roman" w:hAnsi="Arial" w:cs="Times New Roman"/>
                <w:strike/>
                <w:lang w:eastAsia="en-GB"/>
              </w:rPr>
              <w:t>Competent in the delivery of medications both orally and IV</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r w:rsidRPr="00497A17">
              <w:rPr>
                <w:rFonts w:ascii="Arial" w:eastAsia="Calibri" w:hAnsi="Arial" w:cs="Arial"/>
                <w:strike/>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AAC" w:rsidRDefault="00B47AAC">
      <w:pPr>
        <w:spacing w:after="0" w:line="240" w:lineRule="auto"/>
      </w:pPr>
      <w:r>
        <w:separator/>
      </w:r>
    </w:p>
  </w:endnote>
  <w:endnote w:type="continuationSeparator" w:id="0">
    <w:p w:rsidR="00B47AAC" w:rsidRDefault="00B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A17" w:rsidRDefault="00497A17">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AAC" w:rsidRDefault="00B47AAC">
      <w:pPr>
        <w:spacing w:after="0" w:line="240" w:lineRule="auto"/>
      </w:pPr>
      <w:r>
        <w:separator/>
      </w:r>
    </w:p>
  </w:footnote>
  <w:footnote w:type="continuationSeparator" w:id="0">
    <w:p w:rsidR="00B47AAC" w:rsidRDefault="00B4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A17" w:rsidRDefault="00497A17">
    <w:pPr>
      <w:pStyle w:val="Header"/>
    </w:pPr>
  </w:p>
  <w:p w:rsidR="00497A17" w:rsidRDefault="0049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2407B0"/>
    <w:rsid w:val="00497A17"/>
    <w:rsid w:val="005A4273"/>
    <w:rsid w:val="006E657B"/>
    <w:rsid w:val="00812EE8"/>
    <w:rsid w:val="00990E9E"/>
    <w:rsid w:val="00B47AAC"/>
    <w:rsid w:val="00E6707B"/>
    <w:rsid w:val="00EE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E253"/>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Tina Grose, 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 manager Nicky Godfrey, lead nurse for ESC</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Dr Niranjali Vijeratnam, ESC consultant </a:t>
          </a:r>
        </a:p>
      </dgm:t>
    </dgm:pt>
    <dgm:pt modelId="{BA0488BD-F610-4C49-8F62-7927216F4EEB}" type="parTrans" cxnId="{7FBB810C-C3D2-43E7-BD5A-00155727B4BF}">
      <dgm:prSet/>
      <dgm:spPr/>
    </dgm:pt>
    <dgm:pt modelId="{EAB5ACEE-DAC2-4453-8616-D9BD610263BE}" type="sibTrans" cxnId="{7FBB810C-C3D2-43E7-BD5A-00155727B4B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Tina Grose, 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Line manager Nicky Godfrey, lead nurse for ESC</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Dr Niranjali Vijeratnam, ESC consultant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RYDER, Laura (ROYAL DEVON UNIVERSITY HEALTHCARE NHS FOUNDATION TRUST)</cp:lastModifiedBy>
  <cp:revision>4</cp:revision>
  <dcterms:created xsi:type="dcterms:W3CDTF">2024-12-03T08:15:00Z</dcterms:created>
  <dcterms:modified xsi:type="dcterms:W3CDTF">2024-12-05T16:23:00Z</dcterms:modified>
</cp:coreProperties>
</file>